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1F14C5A" w:rsidR="00F17F5E" w:rsidRDefault="00F17F5E" w:rsidP="00F17F5E">
      <w:pPr>
        <w:pStyle w:val="3GPPHeader"/>
        <w:spacing w:after="60"/>
      </w:pPr>
      <w:r>
        <w:t>3GPP TSG-RAN Meeting #</w:t>
      </w:r>
      <w:r w:rsidR="00C257DB">
        <w:t>99</w:t>
      </w:r>
      <w:r>
        <w:tab/>
      </w:r>
      <w:r w:rsidR="008C0602" w:rsidRPr="008C0602">
        <w:t>RP-230408</w:t>
      </w:r>
    </w:p>
    <w:p w14:paraId="492457AB" w14:textId="549397C1" w:rsidR="00B0348E" w:rsidRPr="00CB5CA6" w:rsidRDefault="00C257DB" w:rsidP="00F17F5E">
      <w:pPr>
        <w:pStyle w:val="3GPPHeader"/>
        <w:spacing w:after="60"/>
      </w:pPr>
      <w:r>
        <w:t>Rotterdam</w:t>
      </w:r>
      <w:r w:rsidR="00B65F96" w:rsidRPr="00D53AC8">
        <w:t xml:space="preserve">, </w:t>
      </w:r>
      <w:r>
        <w:t>Netherlands</w:t>
      </w:r>
      <w:r w:rsidR="00B65F96">
        <w:t>,</w:t>
      </w:r>
      <w:r w:rsidR="00B65F96" w:rsidRPr="00D53AC8">
        <w:t xml:space="preserve"> </w:t>
      </w:r>
      <w:r>
        <w:t>March</w:t>
      </w:r>
      <w:r w:rsidR="00B65F96" w:rsidRPr="00B75A02">
        <w:t xml:space="preserve"> </w:t>
      </w:r>
      <w:r w:rsidR="00CB1000">
        <w:t>2</w:t>
      </w:r>
      <w:r>
        <w:t>0</w:t>
      </w:r>
      <w:r w:rsidR="00B65F96">
        <w:rPr>
          <w:vertAlign w:val="superscript"/>
        </w:rPr>
        <w:t>th</w:t>
      </w:r>
      <w:r w:rsidR="00B65F96" w:rsidRPr="00B75A02">
        <w:t xml:space="preserve"> – </w:t>
      </w:r>
      <w:r>
        <w:t>2</w:t>
      </w:r>
      <w:r w:rsidR="00CB1000">
        <w:t>3</w:t>
      </w:r>
      <w:r w:rsidR="00CB1000">
        <w:rPr>
          <w:vertAlign w:val="superscript"/>
        </w:rPr>
        <w:t>rd</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0F0587F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C0602" w:rsidRPr="008C0602">
        <w:rPr>
          <w:sz w:val="22"/>
          <w:szCs w:val="22"/>
          <w:lang w:val="en-US"/>
        </w:rPr>
        <w:t>9</w:t>
      </w:r>
      <w:r w:rsidR="00B65F96" w:rsidRPr="008C0602">
        <w:rPr>
          <w:sz w:val="22"/>
          <w:szCs w:val="22"/>
          <w:lang w:val="en-US"/>
        </w:rPr>
        <w:t>.</w:t>
      </w:r>
      <w:r w:rsidR="008C0602" w:rsidRPr="008C0602">
        <w:rPr>
          <w:sz w:val="22"/>
          <w:szCs w:val="22"/>
          <w:lang w:val="en-US"/>
        </w:rPr>
        <w:t>3</w:t>
      </w:r>
      <w:r w:rsidR="00B65F96" w:rsidRPr="008C0602">
        <w:rPr>
          <w:sz w:val="22"/>
          <w:szCs w:val="22"/>
          <w:lang w:val="en-US"/>
        </w:rPr>
        <w:t>.</w:t>
      </w:r>
      <w:r w:rsidR="008C0602" w:rsidRPr="008C0602">
        <w:rPr>
          <w:sz w:val="22"/>
          <w:szCs w:val="22"/>
          <w:lang w:val="en-US"/>
        </w:rPr>
        <w:t>4.1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71A2F16" w:rsidR="00E90E49" w:rsidRPr="00CE0424" w:rsidRDefault="003D3C45" w:rsidP="00311702">
      <w:pPr>
        <w:pStyle w:val="3GPPHeader"/>
        <w:rPr>
          <w:sz w:val="22"/>
          <w:szCs w:val="22"/>
        </w:rPr>
      </w:pPr>
      <w:r>
        <w:rPr>
          <w:sz w:val="22"/>
          <w:szCs w:val="22"/>
        </w:rPr>
        <w:t>Title:</w:t>
      </w:r>
      <w:r w:rsidR="00E90E49" w:rsidRPr="00CE0424">
        <w:rPr>
          <w:sz w:val="22"/>
          <w:szCs w:val="22"/>
        </w:rPr>
        <w:tab/>
      </w:r>
      <w:r w:rsidR="00076E43">
        <w:rPr>
          <w:sz w:val="22"/>
          <w:szCs w:val="22"/>
        </w:rPr>
        <w:t>NR support of spectrum less than 5MHz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4497989B" w:rsidR="001223AC" w:rsidRDefault="001223AC" w:rsidP="001223AC">
      <w:pPr>
        <w:pStyle w:val="BodyText"/>
        <w:rPr>
          <w:rFonts w:ascii="Times New Roman" w:hAnsi="Times New Roman"/>
        </w:rPr>
      </w:pPr>
      <w:r>
        <w:rPr>
          <w:rFonts w:ascii="Times New Roman" w:hAnsi="Times New Roman"/>
        </w:rPr>
        <w:t>In relation with the</w:t>
      </w:r>
      <w:r w:rsidR="00956021" w:rsidRPr="00956021">
        <w:rPr>
          <w:rFonts w:ascii="Times New Roman" w:hAnsi="Times New Roman"/>
        </w:rPr>
        <w:t xml:space="preserv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Pr>
          <w:rFonts w:ascii="Times New Roman" w:hAnsi="Times New Roman"/>
        </w:rPr>
        <w:t xml:space="preserve">Work Item (WI) on </w:t>
      </w:r>
      <w:r w:rsidR="00956021" w:rsidRPr="00956021">
        <w:rPr>
          <w:rFonts w:ascii="Times New Roman" w:hAnsi="Times New Roman"/>
        </w:rPr>
        <w:t>“</w:t>
      </w:r>
      <w:r w:rsidR="00ED40E9" w:rsidRPr="00C850B5">
        <w:rPr>
          <w:rFonts w:ascii="Times New Roman" w:hAnsi="Times New Roman"/>
          <w:i/>
          <w:iCs/>
        </w:rPr>
        <w:t>NR support for dedicated spectrum less than 5MHz for FR1</w:t>
      </w:r>
      <w:r w:rsidR="00956021" w:rsidRPr="00956021">
        <w:rPr>
          <w:rFonts w:ascii="Times New Roman" w:hAnsi="Times New Roman"/>
        </w:rPr>
        <w:t>” [</w:t>
      </w:r>
      <w:r w:rsidR="00455F6D">
        <w:rPr>
          <w:rFonts w:ascii="Times New Roman" w:hAnsi="Times New Roman"/>
        </w:rPr>
        <w:t>1</w:t>
      </w:r>
      <w:r w:rsidR="005918B3">
        <w:rPr>
          <w:rFonts w:ascii="Times New Roman" w:hAnsi="Times New Roman"/>
        </w:rPr>
        <w:t>]</w:t>
      </w:r>
      <w:r>
        <w:rPr>
          <w:rFonts w:ascii="Times New Roman" w:hAnsi="Times New Roman"/>
        </w:rPr>
        <w:t>, RAN1 send an LS to RAN Plenary to get a guidance on the following</w:t>
      </w:r>
      <w:r w:rsidR="001774FF">
        <w:rPr>
          <w:rFonts w:ascii="Times New Roman" w:hAnsi="Times New Roman"/>
        </w:rPr>
        <w:t xml:space="preserve"> [2]</w:t>
      </w:r>
      <w:r>
        <w:rPr>
          <w:rFonts w:ascii="Times New Roman" w:hAnsi="Times New Roman"/>
        </w:rPr>
        <w:t>:</w:t>
      </w:r>
    </w:p>
    <w:p w14:paraId="35C11E8A" w14:textId="77777777" w:rsidR="0005072B" w:rsidRDefault="0005072B" w:rsidP="0005072B">
      <w:pPr>
        <w:pStyle w:val="BodyText"/>
        <w:spacing w:after="0"/>
        <w:rPr>
          <w:rFonts w:ascii="Times New Roman" w:hAnsi="Times New Roman"/>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05072B" w14:paraId="2589C1E1" w14:textId="77777777" w:rsidTr="0005072B">
        <w:tc>
          <w:tcPr>
            <w:tcW w:w="9629" w:type="dxa"/>
          </w:tcPr>
          <w:p w14:paraId="4FD9E7F9" w14:textId="77777777" w:rsidR="0005072B" w:rsidRPr="0005072B" w:rsidRDefault="0005072B" w:rsidP="0005072B">
            <w:pPr>
              <w:overflowPunct/>
              <w:autoSpaceDE/>
              <w:autoSpaceDN/>
              <w:adjustRightInd/>
              <w:spacing w:after="0"/>
              <w:textAlignment w:val="auto"/>
              <w:rPr>
                <w:rFonts w:ascii="Times" w:eastAsia="Batang" w:hAnsi="Times"/>
                <w:b/>
                <w:bCs/>
                <w:sz w:val="16"/>
                <w:szCs w:val="18"/>
                <w:highlight w:val="green"/>
              </w:rPr>
            </w:pPr>
            <w:r w:rsidRPr="0005072B">
              <w:rPr>
                <w:rFonts w:ascii="Times" w:eastAsia="Batang" w:hAnsi="Times"/>
                <w:b/>
                <w:bCs/>
                <w:sz w:val="16"/>
                <w:szCs w:val="18"/>
                <w:highlight w:val="green"/>
              </w:rPr>
              <w:t xml:space="preserve">Agreement </w:t>
            </w:r>
          </w:p>
          <w:p w14:paraId="75A509C1" w14:textId="77777777" w:rsidR="0005072B" w:rsidRPr="0005072B" w:rsidRDefault="0005072B" w:rsidP="00FF2DF8">
            <w:pPr>
              <w:numPr>
                <w:ilvl w:val="0"/>
                <w:numId w:val="38"/>
              </w:numPr>
              <w:overflowPunct/>
              <w:autoSpaceDE/>
              <w:autoSpaceDN/>
              <w:adjustRightInd/>
              <w:spacing w:after="0"/>
              <w:textAlignment w:val="auto"/>
              <w:rPr>
                <w:rFonts w:ascii="Times" w:eastAsia="DengXian" w:hAnsi="Times"/>
                <w:b/>
                <w:bCs/>
                <w:sz w:val="16"/>
                <w:szCs w:val="18"/>
                <w:lang w:val="en-US"/>
              </w:rPr>
            </w:pPr>
            <w:r w:rsidRPr="0005072B">
              <w:rPr>
                <w:rFonts w:ascii="Times" w:eastAsia="Batang" w:hAnsi="Times"/>
                <w:b/>
                <w:bCs/>
                <w:sz w:val="16"/>
                <w:szCs w:val="18"/>
              </w:rPr>
              <w:t>For transmission BWs for 3MHz and 5MHz channel BW, send an LS to RAN plenary for operators input for the following and RAN plenary guidance,</w:t>
            </w:r>
          </w:p>
          <w:p w14:paraId="57742A32" w14:textId="77777777" w:rsidR="0005072B" w:rsidRPr="0005072B" w:rsidRDefault="0005072B" w:rsidP="00FF2DF8">
            <w:pPr>
              <w:numPr>
                <w:ilvl w:val="2"/>
                <w:numId w:val="37"/>
              </w:numPr>
              <w:overflowPunct/>
              <w:autoSpaceDE/>
              <w:autoSpaceDN/>
              <w:adjustRightInd/>
              <w:spacing w:after="200" w:line="276" w:lineRule="auto"/>
              <w:contextualSpacing/>
              <w:textAlignment w:val="auto"/>
              <w:rPr>
                <w:rFonts w:ascii="Times" w:eastAsia="Batang" w:hAnsi="Times"/>
                <w:b/>
                <w:bCs/>
                <w:sz w:val="16"/>
                <w:szCs w:val="18"/>
              </w:rPr>
            </w:pPr>
            <w:r w:rsidRPr="0005072B">
              <w:rPr>
                <w:rFonts w:ascii="Times" w:eastAsia="Batang" w:hAnsi="Times"/>
                <w:b/>
                <w:bCs/>
                <w:sz w:val="16"/>
                <w:szCs w:val="18"/>
              </w:rPr>
              <w:t>For 5MHz channel BW, whether to allow/support transmission BW(s) for physical channels of approximate 3 MHz up to below 5 MHz. What is the recommended transmission BW(s) to consider?</w:t>
            </w:r>
          </w:p>
          <w:p w14:paraId="1E83AE63" w14:textId="77777777" w:rsidR="0005072B" w:rsidRPr="0005072B" w:rsidRDefault="0005072B" w:rsidP="00FF2DF8">
            <w:pPr>
              <w:numPr>
                <w:ilvl w:val="2"/>
                <w:numId w:val="37"/>
              </w:numPr>
              <w:overflowPunct/>
              <w:autoSpaceDE/>
              <w:autoSpaceDN/>
              <w:adjustRightInd/>
              <w:spacing w:after="200" w:line="276" w:lineRule="auto"/>
              <w:contextualSpacing/>
              <w:textAlignment w:val="auto"/>
              <w:rPr>
                <w:rFonts w:ascii="Times" w:eastAsia="Batang" w:hAnsi="Times"/>
                <w:b/>
                <w:bCs/>
                <w:sz w:val="16"/>
                <w:szCs w:val="18"/>
              </w:rPr>
            </w:pPr>
            <w:r w:rsidRPr="0005072B">
              <w:rPr>
                <w:rFonts w:ascii="Times" w:eastAsia="Batang" w:hAnsi="Times"/>
                <w:b/>
                <w:bCs/>
                <w:sz w:val="16"/>
                <w:szCs w:val="18"/>
              </w:rPr>
              <w:t>For 3MHz channel BW, whether to allow/support transmission BW(s) for physical channels of approximate 3 MHz. What is the recommended transmission BW(s) to consider?</w:t>
            </w:r>
          </w:p>
          <w:p w14:paraId="233E3BD3" w14:textId="1FFF3B8C" w:rsidR="0005072B" w:rsidRPr="0005072B" w:rsidRDefault="0005072B" w:rsidP="00FF2DF8">
            <w:pPr>
              <w:numPr>
                <w:ilvl w:val="0"/>
                <w:numId w:val="37"/>
              </w:numPr>
              <w:overflowPunct/>
              <w:autoSpaceDE/>
              <w:autoSpaceDN/>
              <w:adjustRightInd/>
              <w:spacing w:after="200" w:line="276" w:lineRule="auto"/>
              <w:contextualSpacing/>
              <w:textAlignment w:val="auto"/>
              <w:rPr>
                <w:rFonts w:ascii="Times" w:eastAsia="Batang" w:hAnsi="Times"/>
                <w:b/>
                <w:bCs/>
                <w:szCs w:val="24"/>
              </w:rPr>
            </w:pPr>
            <w:r w:rsidRPr="0005072B">
              <w:rPr>
                <w:rFonts w:ascii="Times" w:eastAsia="Batang" w:hAnsi="Times"/>
                <w:b/>
                <w:bCs/>
                <w:sz w:val="16"/>
                <w:szCs w:val="18"/>
              </w:rPr>
              <w:t>No intention to change the WID scope and TU</w:t>
            </w:r>
          </w:p>
        </w:tc>
      </w:tr>
    </w:tbl>
    <w:p w14:paraId="68B300E7" w14:textId="77777777" w:rsidR="0005072B" w:rsidRDefault="0005072B" w:rsidP="00956021">
      <w:pPr>
        <w:pStyle w:val="BodyText"/>
        <w:rPr>
          <w:rFonts w:ascii="Times New Roman" w:hAnsi="Times New Roman"/>
        </w:rPr>
      </w:pPr>
    </w:p>
    <w:p w14:paraId="4124D373" w14:textId="1BAA20A4" w:rsidR="00956021" w:rsidRDefault="0005072B" w:rsidP="0005072B">
      <w:pPr>
        <w:pStyle w:val="BodyText"/>
        <w:spacing w:after="0"/>
        <w:rPr>
          <w:rFonts w:ascii="Times New Roman" w:hAnsi="Times New Roman"/>
        </w:rPr>
      </w:pPr>
      <w:r>
        <w:rPr>
          <w:rFonts w:ascii="Times New Roman" w:hAnsi="Times New Roman"/>
        </w:rPr>
        <w:t>In this contribution we present our views on the above</w:t>
      </w:r>
      <w:r w:rsidR="00DF3719">
        <w:rPr>
          <w:rFonts w:ascii="Times New Roman" w:hAnsi="Times New Roman"/>
        </w:rPr>
        <w:t>.</w:t>
      </w:r>
    </w:p>
    <w:p w14:paraId="020415C4" w14:textId="1E43636A" w:rsidR="004000E8" w:rsidRDefault="00230D18" w:rsidP="00CE0424">
      <w:pPr>
        <w:pStyle w:val="Heading1"/>
      </w:pPr>
      <w:bookmarkStart w:id="0" w:name="_Ref178064866"/>
      <w:bookmarkStart w:id="1" w:name="_Hlk528365764"/>
      <w:r>
        <w:t>2</w:t>
      </w:r>
      <w:r>
        <w:tab/>
      </w:r>
      <w:bookmarkEnd w:id="0"/>
      <w:r w:rsidR="0005072B">
        <w:t>Discussion</w:t>
      </w:r>
    </w:p>
    <w:bookmarkEnd w:id="1"/>
    <w:p w14:paraId="005E3C31" w14:textId="337F31F2" w:rsidR="0005072B" w:rsidRDefault="0005072B" w:rsidP="0005072B">
      <w:pPr>
        <w:pStyle w:val="Heading2"/>
      </w:pPr>
      <w:r>
        <w:t>2.1</w:t>
      </w:r>
      <w:r>
        <w:tab/>
        <w:t>Background</w:t>
      </w:r>
    </w:p>
    <w:p w14:paraId="224A2032" w14:textId="523E4565" w:rsidR="00700050" w:rsidRDefault="00E87528" w:rsidP="00EE4064">
      <w:pPr>
        <w:pStyle w:val="BodyText"/>
        <w:rPr>
          <w:rFonts w:ascii="Times New Roman" w:hAnsi="Times New Roman"/>
          <w:lang w:eastAsia="ja-JP"/>
        </w:rPr>
      </w:pPr>
      <w:r>
        <w:rPr>
          <w:rFonts w:ascii="Times New Roman" w:hAnsi="Times New Roman"/>
          <w:lang w:eastAsia="ja-JP"/>
        </w:rPr>
        <w:t xml:space="preserve">In </w:t>
      </w:r>
      <w:r w:rsidR="00EE4064">
        <w:rPr>
          <w:rFonts w:ascii="Times New Roman" w:hAnsi="Times New Roman"/>
          <w:lang w:eastAsia="ja-JP"/>
        </w:rPr>
        <w:t>RAN1# 111, the following agreement w</w:t>
      </w:r>
      <w:r w:rsidR="0005072B">
        <w:rPr>
          <w:rFonts w:ascii="Times New Roman" w:hAnsi="Times New Roman"/>
          <w:lang w:eastAsia="ja-JP"/>
        </w:rPr>
        <w:t xml:space="preserve">as </w:t>
      </w:r>
      <w:r w:rsidR="00EE4064">
        <w:rPr>
          <w:rFonts w:ascii="Times New Roman" w:hAnsi="Times New Roman"/>
          <w:lang w:eastAsia="ja-JP"/>
        </w:rPr>
        <w:t>reached in</w:t>
      </w:r>
      <w:r w:rsidR="0005072B">
        <w:rPr>
          <w:rFonts w:ascii="Times New Roman" w:hAnsi="Times New Roman"/>
          <w:lang w:eastAsia="ja-JP"/>
        </w:rPr>
        <w:t xml:space="preserve"> relation with the channel bandwidths to be supported</w:t>
      </w:r>
      <w:r w:rsidR="00A66A59">
        <w:rPr>
          <w:rFonts w:ascii="Times New Roman" w:hAnsi="Times New Roman"/>
          <w:lang w:eastAsia="ja-JP"/>
        </w:rPr>
        <w:t xml:space="preserve"> [3</w:t>
      </w:r>
      <w:r w:rsidR="001774FF">
        <w:rPr>
          <w:rFonts w:ascii="Times New Roman" w:hAnsi="Times New Roman"/>
          <w:lang w:eastAsia="ja-JP"/>
        </w:rPr>
        <w:t>-4</w:t>
      </w:r>
      <w:r w:rsidR="00A66A59">
        <w:rPr>
          <w:rFonts w:ascii="Times New Roman" w:hAnsi="Times New Roman"/>
          <w:lang w:eastAsia="ja-JP"/>
        </w:rPr>
        <w:t>]</w:t>
      </w:r>
      <w:r w:rsidR="0005072B">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EE4064" w14:paraId="11E410BA" w14:textId="77777777" w:rsidTr="00EE4064">
        <w:tc>
          <w:tcPr>
            <w:tcW w:w="9629" w:type="dxa"/>
          </w:tcPr>
          <w:p w14:paraId="6DBB568D" w14:textId="77777777" w:rsidR="00EE4064" w:rsidRPr="00EE4064" w:rsidRDefault="00EE4064" w:rsidP="00EE4064">
            <w:pPr>
              <w:rPr>
                <w:rFonts w:eastAsia="DengXian"/>
                <w:sz w:val="14"/>
                <w:szCs w:val="14"/>
                <w:highlight w:val="green"/>
                <w:lang w:eastAsia="zh-CN"/>
              </w:rPr>
            </w:pPr>
            <w:r w:rsidRPr="00EE4064">
              <w:rPr>
                <w:rFonts w:eastAsia="DengXian"/>
                <w:b/>
                <w:bCs/>
                <w:sz w:val="14"/>
                <w:szCs w:val="14"/>
                <w:highlight w:val="green"/>
                <w:lang w:eastAsia="zh-CN"/>
              </w:rPr>
              <w:t>Agreement</w:t>
            </w:r>
          </w:p>
          <w:p w14:paraId="19E218F4" w14:textId="069CBFBD" w:rsidR="00EE4064" w:rsidRPr="0005072B" w:rsidRDefault="00EE4064" w:rsidP="00EE4064">
            <w:pPr>
              <w:rPr>
                <w:rFonts w:eastAsia="Batang"/>
                <w:sz w:val="14"/>
                <w:szCs w:val="14"/>
                <w:lang w:eastAsia="zh-CN"/>
              </w:rPr>
            </w:pPr>
            <w:r w:rsidRPr="00EE4064">
              <w:rPr>
                <w:sz w:val="14"/>
                <w:szCs w:val="14"/>
                <w:lang w:eastAsia="zh-CN"/>
              </w:rPr>
              <w:t>In an LS to RAN4</w:t>
            </w:r>
            <w:bookmarkStart w:id="2" w:name="_Hlk128667179"/>
            <w:r w:rsidRPr="00EE4064">
              <w:rPr>
                <w:sz w:val="14"/>
                <w:szCs w:val="14"/>
                <w:lang w:eastAsia="zh-CN"/>
              </w:rPr>
              <w:t xml:space="preserve">, in </w:t>
            </w:r>
            <w:r w:rsidRPr="00EE4064">
              <w:rPr>
                <w:color w:val="000000"/>
                <w:sz w:val="14"/>
                <w:szCs w:val="14"/>
                <w:lang w:eastAsia="zh-CN"/>
              </w:rPr>
              <w:t xml:space="preserve">addition to reuse 5 MHz channel bandwidth, RAN1 suppose only 3 MHz channel bandwidth is supported, and would like to </w:t>
            </w:r>
            <w:r w:rsidRPr="00EE4064">
              <w:rPr>
                <w:color w:val="000000"/>
                <w:sz w:val="14"/>
                <w:szCs w:val="14"/>
                <w:lang w:val="en-US" w:eastAsia="zh-CN"/>
              </w:rPr>
              <w:t xml:space="preserve">get </w:t>
            </w:r>
            <w:r w:rsidRPr="00EE4064">
              <w:rPr>
                <w:color w:val="000000"/>
                <w:sz w:val="14"/>
                <w:szCs w:val="14"/>
                <w:lang w:eastAsia="zh-CN"/>
              </w:rPr>
              <w:t>RAN4 responses on the maximum transmission bandwidth (the number of PRBs) for this channel BW</w:t>
            </w:r>
            <w:bookmarkEnd w:id="2"/>
            <w:r w:rsidRPr="00EE4064">
              <w:rPr>
                <w:color w:val="000000"/>
                <w:sz w:val="14"/>
                <w:szCs w:val="14"/>
                <w:lang w:eastAsia="zh-CN"/>
              </w:rPr>
              <w:t>.</w:t>
            </w:r>
          </w:p>
        </w:tc>
      </w:tr>
    </w:tbl>
    <w:p w14:paraId="6DD30F8B" w14:textId="77777777" w:rsidR="00EE4064" w:rsidRDefault="00EE4064" w:rsidP="00EE4064">
      <w:pPr>
        <w:pStyle w:val="BodyText"/>
        <w:rPr>
          <w:rFonts w:ascii="Times New Roman" w:hAnsi="Times New Roman"/>
          <w:lang w:eastAsia="ja-JP"/>
        </w:rPr>
      </w:pPr>
    </w:p>
    <w:p w14:paraId="6294EFB1" w14:textId="43BAD82E" w:rsidR="0005072B" w:rsidRDefault="0005072B" w:rsidP="0005072B">
      <w:pPr>
        <w:pStyle w:val="Observation"/>
        <w:ind w:left="1701" w:hanging="1701"/>
      </w:pPr>
      <w:bookmarkStart w:id="3" w:name="_Toc129083443"/>
      <w:r>
        <w:t>In RAN1# 111, it was agreed “</w:t>
      </w:r>
      <w:r w:rsidRPr="0005072B">
        <w:t>in addition to reuse 5 MHz channel bandwidth, RAN1 suppose only 3 MHz channel bandwidth is supported, and would like to get RAN4 responses on the maximum transmission bandwidth (the number of PRBs) for this channel BW</w:t>
      </w:r>
      <w:r>
        <w:t>”.</w:t>
      </w:r>
      <w:bookmarkEnd w:id="3"/>
    </w:p>
    <w:p w14:paraId="3CB52B1F" w14:textId="1E13FDDD" w:rsidR="00C24D6A" w:rsidRDefault="00C24D6A" w:rsidP="00EE4064">
      <w:pPr>
        <w:pStyle w:val="BodyText"/>
        <w:rPr>
          <w:rFonts w:ascii="Times New Roman" w:hAnsi="Times New Roman"/>
          <w:lang w:eastAsia="ja-JP"/>
        </w:rPr>
      </w:pPr>
      <w:r>
        <w:rPr>
          <w:rFonts w:ascii="Times New Roman" w:hAnsi="Times New Roman"/>
          <w:lang w:eastAsia="ja-JP"/>
        </w:rPr>
        <w:t xml:space="preserve">The support of a 3MHz channel bandwidth consists of a maximum transmission bandwidth of 15-PRBs and guard bands of 142.5 kHz as shown in </w:t>
      </w:r>
      <w:r w:rsidR="004C61E2">
        <w:rPr>
          <w:rFonts w:ascii="Times New Roman" w:hAnsi="Times New Roman"/>
          <w:lang w:eastAsia="ja-JP"/>
        </w:rPr>
        <w:t>F</w:t>
      </w:r>
      <w:r>
        <w:rPr>
          <w:rFonts w:ascii="Times New Roman" w:hAnsi="Times New Roman"/>
          <w:lang w:eastAsia="ja-JP"/>
        </w:rPr>
        <w:t>igure 1.</w:t>
      </w:r>
    </w:p>
    <w:p w14:paraId="2C5F28ED" w14:textId="685B9168" w:rsidR="00C24D6A" w:rsidRDefault="00F463DE" w:rsidP="00FF2DF8">
      <w:pPr>
        <w:pStyle w:val="BodyText"/>
        <w:jc w:val="center"/>
        <w:rPr>
          <w:rFonts w:ascii="Times New Roman" w:hAnsi="Times New Roman"/>
          <w:lang w:eastAsia="ja-JP"/>
        </w:rPr>
      </w:pPr>
      <w:r>
        <w:rPr>
          <w:rFonts w:ascii="Times New Roman" w:hAnsi="Times New Roman"/>
          <w:noProof/>
          <w:lang w:eastAsia="ja-JP"/>
        </w:rPr>
        <w:lastRenderedPageBreak/>
        <w:drawing>
          <wp:inline distT="0" distB="0" distL="0" distR="0" wp14:anchorId="28924600" wp14:editId="1B6AB983">
            <wp:extent cx="2966085" cy="143129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085" cy="1431290"/>
                    </a:xfrm>
                    <a:prstGeom prst="rect">
                      <a:avLst/>
                    </a:prstGeom>
                    <a:noFill/>
                    <a:ln>
                      <a:noFill/>
                    </a:ln>
                  </pic:spPr>
                </pic:pic>
              </a:graphicData>
            </a:graphic>
          </wp:inline>
        </w:drawing>
      </w:r>
    </w:p>
    <w:p w14:paraId="4761AE96" w14:textId="4F324AFB" w:rsidR="00FF2DF8" w:rsidRDefault="00FF2DF8" w:rsidP="00FF2DF8">
      <w:pPr>
        <w:pStyle w:val="BodyText"/>
        <w:jc w:val="center"/>
        <w:rPr>
          <w:rFonts w:ascii="Times New Roman" w:hAnsi="Times New Roman"/>
          <w:lang w:eastAsia="ja-JP"/>
        </w:rPr>
      </w:pPr>
      <w:r w:rsidRPr="0057042F">
        <w:rPr>
          <w:rFonts w:ascii="Times New Roman" w:hAnsi="Times New Roman"/>
          <w:b/>
          <w:bCs/>
          <w:sz w:val="16"/>
          <w:szCs w:val="16"/>
          <w:lang w:eastAsia="ja-JP"/>
        </w:rPr>
        <w:t>Figure 1:</w:t>
      </w:r>
      <w:r>
        <w:rPr>
          <w:rFonts w:ascii="Times New Roman" w:hAnsi="Times New Roman"/>
          <w:b/>
          <w:bCs/>
          <w:sz w:val="16"/>
          <w:szCs w:val="16"/>
          <w:lang w:eastAsia="ja-JP"/>
        </w:rPr>
        <w:t xml:space="preserve"> Support of 3MHz using a maximum transmission bandwidth of 15-RBs and guard bands of 142.5 </w:t>
      </w:r>
      <w:r w:rsidR="00A133BE">
        <w:rPr>
          <w:rFonts w:ascii="Times New Roman" w:hAnsi="Times New Roman"/>
          <w:b/>
          <w:bCs/>
          <w:sz w:val="16"/>
          <w:szCs w:val="16"/>
          <w:lang w:eastAsia="ja-JP"/>
        </w:rPr>
        <w:t>k</w:t>
      </w:r>
      <w:r>
        <w:rPr>
          <w:rFonts w:ascii="Times New Roman" w:hAnsi="Times New Roman"/>
          <w:b/>
          <w:bCs/>
          <w:sz w:val="16"/>
          <w:szCs w:val="16"/>
          <w:lang w:eastAsia="ja-JP"/>
        </w:rPr>
        <w:t xml:space="preserve">Hz </w:t>
      </w:r>
    </w:p>
    <w:p w14:paraId="58B6FDC0" w14:textId="77777777" w:rsidR="00FF2DF8" w:rsidRDefault="00FF2DF8" w:rsidP="00FF2DF8">
      <w:pPr>
        <w:pStyle w:val="BodyText"/>
        <w:jc w:val="center"/>
        <w:rPr>
          <w:rFonts w:ascii="Times New Roman" w:hAnsi="Times New Roman"/>
          <w:lang w:eastAsia="ja-JP"/>
        </w:rPr>
      </w:pPr>
    </w:p>
    <w:p w14:paraId="361369BF" w14:textId="1F971532" w:rsidR="009264A1" w:rsidRDefault="0005072B" w:rsidP="00EE4064">
      <w:pPr>
        <w:pStyle w:val="BodyText"/>
        <w:rPr>
          <w:rFonts w:ascii="Times New Roman" w:hAnsi="Times New Roman"/>
          <w:lang w:eastAsia="ja-JP"/>
        </w:rPr>
      </w:pPr>
      <w:bookmarkStart w:id="4" w:name="_Hlk128673384"/>
      <w:r>
        <w:rPr>
          <w:rFonts w:ascii="Times New Roman" w:hAnsi="Times New Roman"/>
          <w:lang w:eastAsia="ja-JP"/>
        </w:rPr>
        <w:t xml:space="preserve">During RAN1# 112, </w:t>
      </w:r>
      <w:r w:rsidR="00846415">
        <w:rPr>
          <w:rFonts w:ascii="Times New Roman" w:hAnsi="Times New Roman"/>
          <w:lang w:eastAsia="ja-JP"/>
        </w:rPr>
        <w:t>it was</w:t>
      </w:r>
      <w:r>
        <w:rPr>
          <w:rFonts w:ascii="Times New Roman" w:hAnsi="Times New Roman"/>
          <w:lang w:eastAsia="ja-JP"/>
        </w:rPr>
        <w:t xml:space="preserve"> mentioned that </w:t>
      </w:r>
      <w:r w:rsidR="0008472B">
        <w:rPr>
          <w:rFonts w:ascii="Times New Roman" w:hAnsi="Times New Roman"/>
          <w:lang w:eastAsia="ja-JP"/>
        </w:rPr>
        <w:t>to facilitate</w:t>
      </w:r>
      <w:r w:rsidR="003311B1">
        <w:rPr>
          <w:rFonts w:ascii="Times New Roman" w:hAnsi="Times New Roman"/>
          <w:lang w:eastAsia="ja-JP"/>
        </w:rPr>
        <w:t xml:space="preserve"> a gradual transition e.g., for railways use case with GSM-R</w:t>
      </w:r>
      <w:r w:rsidR="0008472B">
        <w:rPr>
          <w:rFonts w:ascii="Times New Roman" w:hAnsi="Times New Roman"/>
          <w:lang w:eastAsia="ja-JP"/>
        </w:rPr>
        <w:t xml:space="preserve"> co-existence, RAN1 should support a sub-3MHz (</w:t>
      </w:r>
      <w:r w:rsidR="00BB6716">
        <w:rPr>
          <w:rFonts w:ascii="Times New Roman" w:hAnsi="Times New Roman"/>
          <w:lang w:eastAsia="ja-JP"/>
        </w:rPr>
        <w:t xml:space="preserve">e.g., </w:t>
      </w:r>
      <w:r w:rsidR="0008472B">
        <w:rPr>
          <w:rFonts w:ascii="Times New Roman" w:hAnsi="Times New Roman"/>
          <w:lang w:eastAsia="ja-JP"/>
        </w:rPr>
        <w:t>2.8 MHz) use-case and/or a sub-5MHz (</w:t>
      </w:r>
      <w:r w:rsidR="00BB6716">
        <w:rPr>
          <w:rFonts w:ascii="Times New Roman" w:hAnsi="Times New Roman"/>
          <w:lang w:eastAsia="ja-JP"/>
        </w:rPr>
        <w:t xml:space="preserve">e.g., </w:t>
      </w:r>
      <w:r w:rsidR="0008472B">
        <w:rPr>
          <w:rFonts w:ascii="Times New Roman" w:hAnsi="Times New Roman"/>
          <w:lang w:eastAsia="ja-JP"/>
        </w:rPr>
        <w:t>3.6MHz) use-case</w:t>
      </w:r>
      <w:bookmarkEnd w:id="4"/>
      <w:r w:rsidR="0008472B">
        <w:rPr>
          <w:rFonts w:ascii="Times New Roman" w:hAnsi="Times New Roman"/>
          <w:lang w:eastAsia="ja-JP"/>
        </w:rPr>
        <w:t xml:space="preserve">. </w:t>
      </w:r>
      <w:r w:rsidR="009264A1">
        <w:rPr>
          <w:rFonts w:ascii="Times New Roman" w:hAnsi="Times New Roman"/>
          <w:lang w:eastAsia="ja-JP"/>
        </w:rPr>
        <w:t xml:space="preserve">There were questions on how those </w:t>
      </w:r>
      <w:r w:rsidR="0008472B">
        <w:rPr>
          <w:rFonts w:ascii="Times New Roman" w:hAnsi="Times New Roman"/>
          <w:lang w:eastAsia="ja-JP"/>
        </w:rPr>
        <w:t>sub-cases would be supported, the an</w:t>
      </w:r>
      <w:r w:rsidR="009264A1">
        <w:rPr>
          <w:rFonts w:ascii="Times New Roman" w:hAnsi="Times New Roman"/>
          <w:lang w:eastAsia="ja-JP"/>
        </w:rPr>
        <w:t xml:space="preserve">swer from the proponents was that there won’t be a RAN4 RF impact </w:t>
      </w:r>
      <w:r w:rsidR="00AB1DF2">
        <w:rPr>
          <w:rFonts w:ascii="Times New Roman" w:hAnsi="Times New Roman"/>
          <w:lang w:eastAsia="ja-JP"/>
        </w:rPr>
        <w:t>due that</w:t>
      </w:r>
      <w:r w:rsidR="009264A1">
        <w:rPr>
          <w:rFonts w:ascii="Times New Roman" w:hAnsi="Times New Roman"/>
          <w:lang w:eastAsia="ja-JP"/>
        </w:rPr>
        <w:t xml:space="preserve"> </w:t>
      </w:r>
      <w:bookmarkStart w:id="5" w:name="_Hlk128673904"/>
      <w:r w:rsidR="009264A1">
        <w:rPr>
          <w:rFonts w:ascii="Times New Roman" w:hAnsi="Times New Roman"/>
          <w:lang w:eastAsia="ja-JP"/>
        </w:rPr>
        <w:t>the maximum transmission bandwidth</w:t>
      </w:r>
      <w:r w:rsidR="00BC0060">
        <w:rPr>
          <w:rFonts w:ascii="Times New Roman" w:hAnsi="Times New Roman"/>
          <w:lang w:eastAsia="ja-JP"/>
        </w:rPr>
        <w:t xml:space="preserve"> for 3MHz</w:t>
      </w:r>
      <w:r w:rsidR="00AB1DF2">
        <w:rPr>
          <w:rFonts w:ascii="Times New Roman" w:hAnsi="Times New Roman"/>
          <w:lang w:eastAsia="ja-JP"/>
        </w:rPr>
        <w:t>/</w:t>
      </w:r>
      <w:r w:rsidR="00BC0060">
        <w:rPr>
          <w:rFonts w:ascii="Times New Roman" w:hAnsi="Times New Roman"/>
          <w:lang w:eastAsia="ja-JP"/>
        </w:rPr>
        <w:t xml:space="preserve">5MHz </w:t>
      </w:r>
      <w:r w:rsidR="00AB1DF2">
        <w:rPr>
          <w:rFonts w:ascii="Times New Roman" w:hAnsi="Times New Roman"/>
          <w:lang w:eastAsia="ja-JP"/>
        </w:rPr>
        <w:t xml:space="preserve">would </w:t>
      </w:r>
      <w:r w:rsidR="00BC0060">
        <w:rPr>
          <w:rFonts w:ascii="Times New Roman" w:hAnsi="Times New Roman"/>
          <w:lang w:eastAsia="ja-JP"/>
        </w:rPr>
        <w:t>be re-used</w:t>
      </w:r>
      <w:r w:rsidR="00AB1DF2">
        <w:rPr>
          <w:rFonts w:ascii="Times New Roman" w:hAnsi="Times New Roman"/>
          <w:lang w:eastAsia="ja-JP"/>
        </w:rPr>
        <w:t xml:space="preserve"> through confining UL and DL PHY-channels structures on transmission bandwidths </w:t>
      </w:r>
      <w:r w:rsidR="000D13CF">
        <w:rPr>
          <w:rFonts w:ascii="Times New Roman" w:hAnsi="Times New Roman"/>
          <w:lang w:eastAsia="ja-JP"/>
        </w:rPr>
        <w:t xml:space="preserve">contained </w:t>
      </w:r>
      <w:r w:rsidR="00AB1DF2">
        <w:rPr>
          <w:rFonts w:ascii="Times New Roman" w:hAnsi="Times New Roman"/>
          <w:lang w:eastAsia="ja-JP"/>
        </w:rPr>
        <w:t>within the maximum transmission bandwidth</w:t>
      </w:r>
      <w:bookmarkEnd w:id="5"/>
      <w:r w:rsidR="00AB1DF2">
        <w:rPr>
          <w:rFonts w:ascii="Times New Roman" w:hAnsi="Times New Roman"/>
          <w:lang w:eastAsia="ja-JP"/>
        </w:rPr>
        <w:t xml:space="preserve"> as illustrated in Figure 2</w:t>
      </w:r>
      <w:r w:rsidR="0054468E">
        <w:rPr>
          <w:rFonts w:ascii="Times New Roman" w:hAnsi="Times New Roman"/>
          <w:lang w:eastAsia="ja-JP"/>
        </w:rPr>
        <w:t>a and Figure 2b</w:t>
      </w:r>
      <w:r w:rsidR="00AB1DF2">
        <w:rPr>
          <w:rFonts w:ascii="Times New Roman" w:hAnsi="Times New Roman"/>
          <w:lang w:eastAsia="ja-JP"/>
        </w:rPr>
        <w:t>.</w:t>
      </w:r>
    </w:p>
    <w:p w14:paraId="21B7E30B" w14:textId="77777777" w:rsidR="000D13CF" w:rsidRDefault="000D13CF" w:rsidP="00EE4064">
      <w:pPr>
        <w:pStyle w:val="BodyText"/>
        <w:rPr>
          <w:rFonts w:ascii="Times New Roman" w:hAnsi="Times New Roman"/>
          <w:lang w:eastAsia="ja-JP"/>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9"/>
        <w:gridCol w:w="4820"/>
      </w:tblGrid>
      <w:tr w:rsidR="0054468E" w14:paraId="14ABC57E" w14:textId="77777777" w:rsidTr="00F463DE">
        <w:tc>
          <w:tcPr>
            <w:tcW w:w="4814" w:type="dxa"/>
          </w:tcPr>
          <w:p w14:paraId="09F99139" w14:textId="5D0D9B19" w:rsidR="0054468E" w:rsidRDefault="0054468E" w:rsidP="0054468E">
            <w:pPr>
              <w:pStyle w:val="BodyText"/>
              <w:jc w:val="left"/>
              <w:rPr>
                <w:rFonts w:ascii="Times New Roman" w:hAnsi="Times New Roman"/>
                <w:b/>
                <w:bCs/>
                <w:sz w:val="16"/>
                <w:szCs w:val="16"/>
                <w:lang w:eastAsia="ja-JP"/>
              </w:rPr>
            </w:pPr>
            <w:r>
              <w:rPr>
                <w:rFonts w:eastAsia="SimSun"/>
                <w:sz w:val="20"/>
                <w:szCs w:val="20"/>
                <w:lang w:val="en-GB"/>
              </w:rPr>
              <w:object w:dxaOrig="4670" w:dyaOrig="2260" w14:anchorId="4644E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12.5pt" o:ole="">
                  <v:imagedata r:id="rId12" o:title=""/>
                </v:shape>
                <o:OLEObject Type="Embed" ProgID="PBrush" ShapeID="_x0000_i1025" DrawAspect="Content" ObjectID="_1739964361" r:id="rId13"/>
              </w:object>
            </w:r>
          </w:p>
          <w:p w14:paraId="11BFF724" w14:textId="5C5D7FB8" w:rsidR="0054468E" w:rsidRDefault="0054468E" w:rsidP="0054468E">
            <w:pPr>
              <w:pStyle w:val="BodyText"/>
              <w:jc w:val="left"/>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2a</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Support of a sub-3MHz use-case on a 3MHz channel Bandwidth </w:t>
            </w:r>
          </w:p>
        </w:tc>
        <w:tc>
          <w:tcPr>
            <w:tcW w:w="4815" w:type="dxa"/>
          </w:tcPr>
          <w:p w14:paraId="2F076F6C" w14:textId="4C2EB359" w:rsidR="00BD7B44" w:rsidRDefault="00BD7B44" w:rsidP="00EE4064">
            <w:pPr>
              <w:pStyle w:val="BodyText"/>
              <w:rPr>
                <w:rFonts w:ascii="Times New Roman" w:hAnsi="Times New Roman"/>
                <w:b/>
                <w:bCs/>
                <w:sz w:val="16"/>
                <w:szCs w:val="16"/>
                <w:lang w:eastAsia="ja-JP"/>
              </w:rPr>
            </w:pPr>
            <w:r>
              <w:rPr>
                <w:rFonts w:eastAsia="SimSun"/>
                <w:sz w:val="20"/>
                <w:szCs w:val="20"/>
                <w:lang w:val="en-GB"/>
              </w:rPr>
              <w:object w:dxaOrig="4670" w:dyaOrig="2260" w14:anchorId="657B746F">
                <v:shape id="_x0000_i1026" type="#_x0000_t75" style="width:233.5pt;height:112.5pt" o:ole="">
                  <v:imagedata r:id="rId14" o:title=""/>
                </v:shape>
                <o:OLEObject Type="Embed" ProgID="PBrush" ShapeID="_x0000_i1026" DrawAspect="Content" ObjectID="_1739964362" r:id="rId15"/>
              </w:object>
            </w:r>
          </w:p>
          <w:p w14:paraId="0C78E311" w14:textId="0AF62D6F" w:rsidR="0054468E" w:rsidRDefault="00BD7B44" w:rsidP="00EE4064">
            <w:pPr>
              <w:pStyle w:val="BodyText"/>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2b</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Support of a sub-5MHz use-case on a 5MHz channel Bandwidth</w:t>
            </w:r>
          </w:p>
        </w:tc>
      </w:tr>
    </w:tbl>
    <w:p w14:paraId="522D3A07" w14:textId="1B6969FA" w:rsidR="009264A1" w:rsidRDefault="009264A1" w:rsidP="00EE4064">
      <w:pPr>
        <w:pStyle w:val="BodyText"/>
        <w:rPr>
          <w:rFonts w:ascii="Times New Roman" w:hAnsi="Times New Roman"/>
          <w:lang w:eastAsia="ja-JP"/>
        </w:rPr>
      </w:pPr>
      <w:r>
        <w:rPr>
          <w:rFonts w:ascii="Times New Roman" w:hAnsi="Times New Roman"/>
          <w:lang w:eastAsia="ja-JP"/>
        </w:rPr>
        <w:t xml:space="preserve"> </w:t>
      </w:r>
    </w:p>
    <w:p w14:paraId="0E920C8F" w14:textId="0DC8C3A3" w:rsidR="0008472B" w:rsidRDefault="006A7867" w:rsidP="006A7867">
      <w:pPr>
        <w:pStyle w:val="Observation"/>
        <w:ind w:left="1701" w:hanging="1701"/>
      </w:pPr>
      <w:bookmarkStart w:id="6" w:name="_Toc129083444"/>
      <w:r>
        <w:t>T</w:t>
      </w:r>
      <w:r w:rsidRPr="006A7867">
        <w:t xml:space="preserve">o facilitate co-existence with e.g., GSM-R, </w:t>
      </w:r>
      <w:r w:rsidR="00E535E4">
        <w:t>it was mentioned that RAN1 should</w:t>
      </w:r>
      <w:r w:rsidR="00F92CC9">
        <w:t xml:space="preserve"> </w:t>
      </w:r>
      <w:r w:rsidRPr="006A7867">
        <w:t>support a sub-3MHz (</w:t>
      </w:r>
      <w:r w:rsidR="00BB6716">
        <w:t xml:space="preserve">e.g., </w:t>
      </w:r>
      <w:r w:rsidRPr="006A7867">
        <w:t>2.8MHz) use-case and/or a sub-5MHz (</w:t>
      </w:r>
      <w:r w:rsidR="00BB6716">
        <w:t xml:space="preserve">e.g., </w:t>
      </w:r>
      <w:r w:rsidRPr="006A7867">
        <w:t>3.6MHz) use-case</w:t>
      </w:r>
      <w:r>
        <w:t>.</w:t>
      </w:r>
      <w:bookmarkEnd w:id="6"/>
    </w:p>
    <w:p w14:paraId="303E8B0F" w14:textId="4A2131A0" w:rsidR="00F92CC9" w:rsidRDefault="00F92CC9" w:rsidP="006A7867">
      <w:pPr>
        <w:pStyle w:val="Observation"/>
        <w:ind w:left="1701" w:hanging="1701"/>
      </w:pPr>
      <w:bookmarkStart w:id="7" w:name="_Toc129083445"/>
      <w:r>
        <w:t xml:space="preserve">The support of the </w:t>
      </w:r>
      <w:bookmarkStart w:id="8" w:name="_Hlk128675568"/>
      <w:r w:rsidRPr="006A7867">
        <w:t>sub-3MHz (2.8 MHz) and/or sub-5MHz (3.6MHz) use-case</w:t>
      </w:r>
      <w:r>
        <w:t xml:space="preserve">s </w:t>
      </w:r>
      <w:bookmarkEnd w:id="8"/>
      <w:r>
        <w:t>w</w:t>
      </w:r>
      <w:r w:rsidR="00751961">
        <w:t>as</w:t>
      </w:r>
      <w:r>
        <w:t xml:space="preserve"> claimed to do not require </w:t>
      </w:r>
      <w:r w:rsidR="00751961">
        <w:t xml:space="preserve">any </w:t>
      </w:r>
      <w:r>
        <w:t xml:space="preserve">RAN4 RF impact. It </w:t>
      </w:r>
      <w:r w:rsidR="00412C04">
        <w:t xml:space="preserve">was </w:t>
      </w:r>
      <w:r>
        <w:t xml:space="preserve">mentioned that the intention is to re-use </w:t>
      </w:r>
      <w:r w:rsidRPr="00F92CC9">
        <w:t>the maximum transmission bandwidth for 3MHz/5MHz</w:t>
      </w:r>
      <w:r>
        <w:t xml:space="preserve">, </w:t>
      </w:r>
      <w:r w:rsidRPr="00F92CC9">
        <w:t>confining UL and DL PHY-channels</w:t>
      </w:r>
      <w:r w:rsidR="00BB6716">
        <w:t xml:space="preserve"> </w:t>
      </w:r>
      <w:r w:rsidRPr="00F92CC9">
        <w:t xml:space="preserve">structures on transmission bandwidths </w:t>
      </w:r>
      <w:r w:rsidR="00BB6716">
        <w:t xml:space="preserve">contained </w:t>
      </w:r>
      <w:r w:rsidRPr="00F92CC9">
        <w:t>within the maximum transmission bandwidth</w:t>
      </w:r>
      <w:r w:rsidR="00751961">
        <w:t>.</w:t>
      </w:r>
      <w:bookmarkEnd w:id="7"/>
    </w:p>
    <w:p w14:paraId="01DF6E95" w14:textId="0DDA6645" w:rsidR="0008472B" w:rsidRDefault="0008472B" w:rsidP="00EE4064">
      <w:pPr>
        <w:pStyle w:val="BodyText"/>
        <w:rPr>
          <w:rFonts w:ascii="Times New Roman" w:hAnsi="Times New Roman"/>
          <w:lang w:eastAsia="ja-JP"/>
        </w:rPr>
      </w:pPr>
      <w:r>
        <w:rPr>
          <w:rFonts w:ascii="Times New Roman" w:hAnsi="Times New Roman"/>
          <w:lang w:eastAsia="ja-JP"/>
        </w:rPr>
        <w:t xml:space="preserve"> </w:t>
      </w:r>
    </w:p>
    <w:p w14:paraId="578114C1" w14:textId="124F2B11" w:rsidR="00751961" w:rsidRDefault="00751961" w:rsidP="00751961">
      <w:pPr>
        <w:pStyle w:val="Heading2"/>
        <w:ind w:left="0" w:firstLine="0"/>
      </w:pPr>
      <w:r>
        <w:t>2.</w:t>
      </w:r>
      <w:r w:rsidR="00E641B0">
        <w:t>2</w:t>
      </w:r>
      <w:r>
        <w:tab/>
      </w:r>
      <w:r w:rsidR="00E641B0">
        <w:t>Overall view</w:t>
      </w:r>
    </w:p>
    <w:p w14:paraId="399F3B14" w14:textId="518CAD83" w:rsidR="004C61E2" w:rsidRDefault="001A265F" w:rsidP="00EE4064">
      <w:pPr>
        <w:pStyle w:val="BodyText"/>
        <w:rPr>
          <w:rFonts w:ascii="Times New Roman" w:hAnsi="Times New Roman"/>
          <w:lang w:eastAsia="ja-JP"/>
        </w:rPr>
      </w:pPr>
      <w:r>
        <w:rPr>
          <w:rFonts w:ascii="Times New Roman" w:hAnsi="Times New Roman"/>
          <w:lang w:eastAsia="ja-JP"/>
        </w:rPr>
        <w:t>T</w:t>
      </w:r>
      <w:r w:rsidR="00412C04">
        <w:rPr>
          <w:rFonts w:ascii="Times New Roman" w:hAnsi="Times New Roman"/>
          <w:lang w:eastAsia="ja-JP"/>
        </w:rPr>
        <w:t>here</w:t>
      </w:r>
      <w:r w:rsidR="000C497A">
        <w:rPr>
          <w:rFonts w:ascii="Times New Roman" w:hAnsi="Times New Roman"/>
          <w:lang w:eastAsia="ja-JP"/>
        </w:rPr>
        <w:t xml:space="preserve"> are</w:t>
      </w:r>
      <w:r w:rsidR="00412C04">
        <w:rPr>
          <w:rFonts w:ascii="Times New Roman" w:hAnsi="Times New Roman"/>
          <w:lang w:eastAsia="ja-JP"/>
        </w:rPr>
        <w:t xml:space="preserve"> two main branches </w:t>
      </w:r>
      <w:r w:rsidR="000C497A">
        <w:rPr>
          <w:rFonts w:ascii="Times New Roman" w:hAnsi="Times New Roman"/>
          <w:lang w:eastAsia="ja-JP"/>
        </w:rPr>
        <w:t xml:space="preserve">(i.e., 3MHz and 5MHz channel bandwidths) </w:t>
      </w:r>
      <w:r w:rsidR="00412C04">
        <w:rPr>
          <w:rFonts w:ascii="Times New Roman" w:hAnsi="Times New Roman"/>
          <w:lang w:eastAsia="ja-JP"/>
        </w:rPr>
        <w:t xml:space="preserve">under the scope of the WI on </w:t>
      </w:r>
      <w:r w:rsidR="00412C04" w:rsidRPr="00956021">
        <w:rPr>
          <w:rFonts w:ascii="Times New Roman" w:hAnsi="Times New Roman"/>
        </w:rPr>
        <w:t>“</w:t>
      </w:r>
      <w:r w:rsidR="00412C04" w:rsidRPr="00C850B5">
        <w:rPr>
          <w:rFonts w:ascii="Times New Roman" w:hAnsi="Times New Roman"/>
          <w:i/>
          <w:iCs/>
        </w:rPr>
        <w:t>NR support for dedicated spectrum less than 5MHz for FR1</w:t>
      </w:r>
      <w:r w:rsidR="00412C04" w:rsidRPr="00956021">
        <w:rPr>
          <w:rFonts w:ascii="Times New Roman" w:hAnsi="Times New Roman"/>
        </w:rPr>
        <w:t>”</w:t>
      </w:r>
      <w:r w:rsidR="000C497A">
        <w:rPr>
          <w:rFonts w:ascii="Times New Roman" w:hAnsi="Times New Roman"/>
          <w:lang w:eastAsia="ja-JP"/>
        </w:rPr>
        <w:t xml:space="preserve">, whereas the support of the sub-branches (i.e., </w:t>
      </w:r>
      <w:r w:rsidR="000C497A" w:rsidRPr="000C497A">
        <w:rPr>
          <w:rFonts w:ascii="Times New Roman" w:hAnsi="Times New Roman"/>
          <w:lang w:eastAsia="ja-JP"/>
        </w:rPr>
        <w:t>sub-3MHz (</w:t>
      </w:r>
      <w:r w:rsidR="00222294">
        <w:rPr>
          <w:rFonts w:ascii="Times New Roman" w:hAnsi="Times New Roman"/>
          <w:lang w:eastAsia="ja-JP"/>
        </w:rPr>
        <w:t xml:space="preserve">e.g., </w:t>
      </w:r>
      <w:r w:rsidR="000C497A" w:rsidRPr="000C497A">
        <w:rPr>
          <w:rFonts w:ascii="Times New Roman" w:hAnsi="Times New Roman"/>
          <w:lang w:eastAsia="ja-JP"/>
        </w:rPr>
        <w:t>2.8 MHz) and/or sub-5MHz (</w:t>
      </w:r>
      <w:r w:rsidR="00222294">
        <w:rPr>
          <w:rFonts w:ascii="Times New Roman" w:hAnsi="Times New Roman"/>
          <w:lang w:eastAsia="ja-JP"/>
        </w:rPr>
        <w:t xml:space="preserve">e.g., </w:t>
      </w:r>
      <w:r w:rsidR="000C497A" w:rsidRPr="000C497A">
        <w:rPr>
          <w:rFonts w:ascii="Times New Roman" w:hAnsi="Times New Roman"/>
          <w:lang w:eastAsia="ja-JP"/>
        </w:rPr>
        <w:t>3.6MHz) use-cases</w:t>
      </w:r>
      <w:r w:rsidR="000C497A">
        <w:rPr>
          <w:rFonts w:ascii="Times New Roman" w:hAnsi="Times New Roman"/>
          <w:lang w:eastAsia="ja-JP"/>
        </w:rPr>
        <w:t>) will depend on the recommendation from RAN Plenary. Figure 3 illustrates the two main branches (i.e., 3MHz and 5MHz channel bandwidths) and the potential support of</w:t>
      </w:r>
      <w:r w:rsidR="00751961">
        <w:rPr>
          <w:rFonts w:ascii="Times New Roman" w:hAnsi="Times New Roman"/>
          <w:lang w:eastAsia="ja-JP"/>
        </w:rPr>
        <w:t xml:space="preserve"> those </w:t>
      </w:r>
      <w:r w:rsidR="000C497A">
        <w:rPr>
          <w:rFonts w:ascii="Times New Roman" w:hAnsi="Times New Roman"/>
          <w:lang w:eastAsia="ja-JP"/>
        </w:rPr>
        <w:t xml:space="preserve">sub-branches (i.e., </w:t>
      </w:r>
      <w:r w:rsidR="000C497A" w:rsidRPr="000C497A">
        <w:rPr>
          <w:rFonts w:ascii="Times New Roman" w:hAnsi="Times New Roman"/>
          <w:lang w:eastAsia="ja-JP"/>
        </w:rPr>
        <w:t>sub-3MHz (</w:t>
      </w:r>
      <w:r w:rsidR="00222294">
        <w:rPr>
          <w:rFonts w:ascii="Times New Roman" w:hAnsi="Times New Roman"/>
          <w:lang w:eastAsia="ja-JP"/>
        </w:rPr>
        <w:t xml:space="preserve">e.g., </w:t>
      </w:r>
      <w:r w:rsidR="000C497A" w:rsidRPr="000C497A">
        <w:rPr>
          <w:rFonts w:ascii="Times New Roman" w:hAnsi="Times New Roman"/>
          <w:lang w:eastAsia="ja-JP"/>
        </w:rPr>
        <w:t>2.8 MHz) and/or sub-5MHz (</w:t>
      </w:r>
      <w:r w:rsidR="00222294">
        <w:rPr>
          <w:rFonts w:ascii="Times New Roman" w:hAnsi="Times New Roman"/>
          <w:lang w:eastAsia="ja-JP"/>
        </w:rPr>
        <w:t xml:space="preserve">e.g., </w:t>
      </w:r>
      <w:r w:rsidR="000C497A" w:rsidRPr="000C497A">
        <w:rPr>
          <w:rFonts w:ascii="Times New Roman" w:hAnsi="Times New Roman"/>
          <w:lang w:eastAsia="ja-JP"/>
        </w:rPr>
        <w:t>3.6MHz) use-cases</w:t>
      </w:r>
      <w:r w:rsidR="000C497A">
        <w:rPr>
          <w:rFonts w:ascii="Times New Roman" w:hAnsi="Times New Roman"/>
          <w:lang w:eastAsia="ja-JP"/>
        </w:rPr>
        <w:t>).</w:t>
      </w:r>
    </w:p>
    <w:p w14:paraId="5D447386" w14:textId="77777777" w:rsidR="000C497A" w:rsidRDefault="000C497A" w:rsidP="00EE4064">
      <w:pPr>
        <w:pStyle w:val="BodyText"/>
        <w:rPr>
          <w:rFonts w:ascii="Times New Roman" w:hAnsi="Times New Roman"/>
          <w:lang w:eastAsia="ja-JP"/>
        </w:rPr>
      </w:pPr>
    </w:p>
    <w:p w14:paraId="1C2BA80D" w14:textId="77777777" w:rsidR="000C497A" w:rsidRDefault="000C497A" w:rsidP="00EE4064">
      <w:pPr>
        <w:pStyle w:val="BodyText"/>
        <w:rPr>
          <w:rFonts w:ascii="Times New Roman" w:hAnsi="Times New Roman"/>
          <w:lang w:eastAsia="ja-JP"/>
        </w:rPr>
      </w:pPr>
    </w:p>
    <w:p w14:paraId="7A821A6D" w14:textId="4CECF5D1" w:rsidR="0005072B" w:rsidRDefault="004C61E2" w:rsidP="00EE4064">
      <w:pPr>
        <w:pStyle w:val="BodyText"/>
        <w:rPr>
          <w:rFonts w:ascii="Times New Roman" w:hAnsi="Times New Roman"/>
          <w:lang w:eastAsia="ja-JP"/>
        </w:rPr>
      </w:pPr>
      <w:r>
        <w:rPr>
          <w:rFonts w:ascii="Times New Roman" w:hAnsi="Times New Roman"/>
          <w:lang w:eastAsia="ja-JP"/>
        </w:rPr>
        <w:t xml:space="preserve"> </w:t>
      </w:r>
    </w:p>
    <w:p w14:paraId="6FB7CC55" w14:textId="7B477A54" w:rsidR="0008472B" w:rsidRDefault="000C497A" w:rsidP="00EE4064">
      <w:pPr>
        <w:pStyle w:val="BodyText"/>
        <w:rPr>
          <w:rFonts w:ascii="Times New Roman" w:hAnsi="Times New Roman"/>
          <w:lang w:eastAsia="ja-JP"/>
        </w:rPr>
      </w:pPr>
      <w:r>
        <w:rPr>
          <w:rFonts w:ascii="Times New Roman" w:hAnsi="Times New Roman"/>
          <w:noProof/>
          <w:lang w:eastAsia="ja-JP"/>
        </w:rPr>
        <w:lastRenderedPageBreak/>
        <w:drawing>
          <wp:inline distT="0" distB="0" distL="0" distR="0" wp14:anchorId="7C3B840C" wp14:editId="63DB279B">
            <wp:extent cx="6118612" cy="21020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1809" cy="2120320"/>
                    </a:xfrm>
                    <a:prstGeom prst="rect">
                      <a:avLst/>
                    </a:prstGeom>
                    <a:noFill/>
                  </pic:spPr>
                </pic:pic>
              </a:graphicData>
            </a:graphic>
          </wp:inline>
        </w:drawing>
      </w:r>
    </w:p>
    <w:p w14:paraId="002CE68D" w14:textId="7312C6AD" w:rsidR="006C381B" w:rsidRDefault="006C381B" w:rsidP="006C381B">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3</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3MHz channel bandwidth use-case and the potential support of a sub-3MHz use-case (left-hand side of the diagram), and 5MHz channel bandwidth use-case and the potential support of a sub-5MHz use-case (right-hand side of the diagram).</w:t>
      </w:r>
    </w:p>
    <w:p w14:paraId="61CA734E" w14:textId="77777777" w:rsidR="0008472B" w:rsidRDefault="0008472B" w:rsidP="00EE4064">
      <w:pPr>
        <w:pStyle w:val="BodyText"/>
        <w:rPr>
          <w:rFonts w:ascii="Times New Roman" w:hAnsi="Times New Roman"/>
          <w:lang w:eastAsia="ja-JP"/>
        </w:rPr>
      </w:pPr>
    </w:p>
    <w:p w14:paraId="36E600F3" w14:textId="41135235" w:rsidR="00751961" w:rsidRDefault="00751961" w:rsidP="00751961">
      <w:pPr>
        <w:pStyle w:val="Observation"/>
        <w:ind w:left="1701" w:hanging="1701"/>
      </w:pPr>
      <w:bookmarkStart w:id="9" w:name="_Toc129083446"/>
      <w:r>
        <w:t>Based on existing agreements from RAN1#</w:t>
      </w:r>
      <w:r w:rsidR="00B7727D">
        <w:t>111</w:t>
      </w:r>
      <w:r w:rsidR="00EA102B">
        <w:t>: “</w:t>
      </w:r>
      <w:r w:rsidR="00EA102B" w:rsidRPr="00EA102B">
        <w:rPr>
          <w:color w:val="767171" w:themeColor="background2" w:themeShade="80"/>
        </w:rPr>
        <w:t>reuse 5 MHz channel bandwidth, RAN1 suppose only 3 MHz channel bandwidth is supported</w:t>
      </w:r>
      <w:r w:rsidR="00EA102B">
        <w:t>”</w:t>
      </w:r>
      <w:r>
        <w:t xml:space="preserve">, and given that the potential support of sub-cases is not meant to cause any RAN4 RF impact, then there </w:t>
      </w:r>
      <w:r w:rsidRPr="000C497A">
        <w:t>are two main branches (i.e., 3MHz and 5MHz channel bandwidths) under the scope of the WI on “NR support for dedicated spectrum less than 5MHz for FR1”, whereas the support of the sub-branches (i.e., sub-3MHz (</w:t>
      </w:r>
      <w:r>
        <w:t xml:space="preserve">e.g., </w:t>
      </w:r>
      <w:r w:rsidRPr="000C497A">
        <w:t>2.8 MHz) and/or sub-5MHz (</w:t>
      </w:r>
      <w:r>
        <w:t xml:space="preserve">e.g., </w:t>
      </w:r>
      <w:r w:rsidRPr="000C497A">
        <w:t>3.6MHz) use-cases) will depend on the recommendation from RAN Plenary</w:t>
      </w:r>
      <w:r>
        <w:t>.</w:t>
      </w:r>
      <w:bookmarkEnd w:id="9"/>
    </w:p>
    <w:p w14:paraId="11604FE7" w14:textId="77777777" w:rsidR="00751961" w:rsidRDefault="00751961" w:rsidP="00EE4064">
      <w:pPr>
        <w:pStyle w:val="BodyText"/>
        <w:rPr>
          <w:rFonts w:ascii="Times New Roman" w:hAnsi="Times New Roman"/>
          <w:lang w:eastAsia="ja-JP"/>
        </w:rPr>
      </w:pPr>
    </w:p>
    <w:p w14:paraId="11717E45" w14:textId="14343468" w:rsidR="002717F9" w:rsidRDefault="00E641B0" w:rsidP="002717F9">
      <w:pPr>
        <w:pStyle w:val="BodyText"/>
        <w:rPr>
          <w:rFonts w:ascii="Times New Roman" w:hAnsi="Times New Roman"/>
          <w:lang w:eastAsia="ja-JP"/>
        </w:rPr>
      </w:pPr>
      <w:r>
        <w:rPr>
          <w:rFonts w:ascii="Times New Roman" w:hAnsi="Times New Roman"/>
          <w:lang w:eastAsia="ja-JP"/>
        </w:rPr>
        <w:t>In our view, even if there were no RAN4 RF impact</w:t>
      </w:r>
      <w:r w:rsidR="00AF6A5A">
        <w:rPr>
          <w:rFonts w:ascii="Times New Roman" w:hAnsi="Times New Roman"/>
          <w:lang w:eastAsia="ja-JP"/>
        </w:rPr>
        <w:t>s,</w:t>
      </w:r>
      <w:r>
        <w:rPr>
          <w:rFonts w:ascii="Times New Roman" w:hAnsi="Times New Roman"/>
          <w:lang w:eastAsia="ja-JP"/>
        </w:rPr>
        <w:t xml:space="preserve"> at least the following aspects must be considered before recommending RAN1 </w:t>
      </w:r>
      <w:bookmarkStart w:id="10" w:name="_Hlk128677724"/>
      <w:r>
        <w:rPr>
          <w:rFonts w:ascii="Times New Roman" w:hAnsi="Times New Roman"/>
          <w:lang w:eastAsia="ja-JP"/>
        </w:rPr>
        <w:t xml:space="preserve">to support </w:t>
      </w:r>
      <w:r w:rsidRPr="00E641B0">
        <w:rPr>
          <w:rFonts w:ascii="Times New Roman" w:hAnsi="Times New Roman"/>
          <w:lang w:eastAsia="ja-JP"/>
        </w:rPr>
        <w:t>the sub-3MHz (e.g., 2.8MHz) and/or sub-5MHz (e.g., 3.6MHz)) use-cases</w:t>
      </w:r>
      <w:r>
        <w:rPr>
          <w:rFonts w:ascii="Times New Roman" w:hAnsi="Times New Roman"/>
          <w:lang w:eastAsia="ja-JP"/>
        </w:rPr>
        <w:t xml:space="preserve"> under the WI on </w:t>
      </w:r>
      <w:r w:rsidRPr="00956021">
        <w:rPr>
          <w:rFonts w:ascii="Times New Roman" w:hAnsi="Times New Roman"/>
        </w:rPr>
        <w:t>“</w:t>
      </w:r>
      <w:r w:rsidRPr="00C850B5">
        <w:rPr>
          <w:rFonts w:ascii="Times New Roman" w:hAnsi="Times New Roman"/>
          <w:i/>
          <w:iCs/>
        </w:rPr>
        <w:t>NR support for dedicated spectrum less than 5MHz for FR1</w:t>
      </w:r>
      <w:r>
        <w:rPr>
          <w:rFonts w:ascii="Times New Roman" w:hAnsi="Times New Roman"/>
          <w:lang w:eastAsia="ja-JP"/>
        </w:rPr>
        <w:t>”:</w:t>
      </w:r>
    </w:p>
    <w:bookmarkEnd w:id="10"/>
    <w:p w14:paraId="41F9C75A" w14:textId="6A969503" w:rsidR="00E641B0" w:rsidRDefault="00B7727D" w:rsidP="00E641B0">
      <w:pPr>
        <w:pStyle w:val="BodyText"/>
        <w:numPr>
          <w:ilvl w:val="0"/>
          <w:numId w:val="41"/>
        </w:numPr>
        <w:rPr>
          <w:rFonts w:ascii="Times New Roman" w:hAnsi="Times New Roman"/>
          <w:lang w:eastAsia="ja-JP"/>
        </w:rPr>
      </w:pPr>
      <w:r>
        <w:rPr>
          <w:rFonts w:ascii="Times New Roman" w:hAnsi="Times New Roman"/>
          <w:lang w:eastAsia="ja-JP"/>
        </w:rPr>
        <w:t xml:space="preserve">Additional </w:t>
      </w:r>
      <w:r w:rsidR="00E641B0">
        <w:rPr>
          <w:rFonts w:ascii="Times New Roman" w:hAnsi="Times New Roman"/>
          <w:lang w:eastAsia="ja-JP"/>
        </w:rPr>
        <w:t xml:space="preserve">RRM </w:t>
      </w:r>
      <w:bookmarkStart w:id="11" w:name="_Hlk128677807"/>
      <w:r w:rsidR="00E641B0">
        <w:rPr>
          <w:rFonts w:ascii="Times New Roman" w:hAnsi="Times New Roman"/>
          <w:lang w:eastAsia="ja-JP"/>
        </w:rPr>
        <w:t>impact (RAN4)</w:t>
      </w:r>
    </w:p>
    <w:p w14:paraId="17606756" w14:textId="4F06109D" w:rsidR="00E641B0" w:rsidRDefault="00B7727D" w:rsidP="00E641B0">
      <w:pPr>
        <w:pStyle w:val="BodyText"/>
        <w:numPr>
          <w:ilvl w:val="0"/>
          <w:numId w:val="41"/>
        </w:numPr>
        <w:rPr>
          <w:rFonts w:ascii="Times New Roman" w:hAnsi="Times New Roman"/>
          <w:lang w:eastAsia="ja-JP"/>
        </w:rPr>
      </w:pPr>
      <w:r>
        <w:rPr>
          <w:rFonts w:ascii="Times New Roman" w:hAnsi="Times New Roman"/>
          <w:lang w:eastAsia="ja-JP"/>
        </w:rPr>
        <w:t>Additional impact</w:t>
      </w:r>
      <w:r w:rsidR="00E641B0">
        <w:rPr>
          <w:rFonts w:ascii="Times New Roman" w:hAnsi="Times New Roman"/>
          <w:lang w:eastAsia="ja-JP"/>
        </w:rPr>
        <w:t xml:space="preserve"> on the sync-raster design (RAN4)</w:t>
      </w:r>
    </w:p>
    <w:p w14:paraId="03D9FD9D" w14:textId="33A5C87B" w:rsidR="00E641B0" w:rsidRDefault="00E641B0" w:rsidP="00E641B0">
      <w:pPr>
        <w:pStyle w:val="BodyText"/>
        <w:numPr>
          <w:ilvl w:val="0"/>
          <w:numId w:val="41"/>
        </w:numPr>
        <w:rPr>
          <w:rFonts w:ascii="Times New Roman" w:hAnsi="Times New Roman"/>
          <w:lang w:eastAsia="ja-JP"/>
        </w:rPr>
      </w:pPr>
      <w:r>
        <w:rPr>
          <w:rFonts w:ascii="Times New Roman" w:hAnsi="Times New Roman"/>
          <w:lang w:eastAsia="ja-JP"/>
        </w:rPr>
        <w:t>Relationship b</w:t>
      </w:r>
      <w:r w:rsidR="00000CF2">
        <w:rPr>
          <w:rFonts w:ascii="Times New Roman" w:hAnsi="Times New Roman"/>
          <w:lang w:eastAsia="ja-JP"/>
        </w:rPr>
        <w:t xml:space="preserve">etween the support of </w:t>
      </w:r>
      <w:r w:rsidR="00000CF2" w:rsidRPr="00E641B0">
        <w:rPr>
          <w:rFonts w:ascii="Times New Roman" w:hAnsi="Times New Roman"/>
          <w:lang w:eastAsia="ja-JP"/>
        </w:rPr>
        <w:t>the sub-3MHz</w:t>
      </w:r>
      <w:r w:rsidR="00000CF2">
        <w:rPr>
          <w:rFonts w:ascii="Times New Roman" w:hAnsi="Times New Roman"/>
          <w:lang w:eastAsia="ja-JP"/>
        </w:rPr>
        <w:t>/</w:t>
      </w:r>
      <w:r w:rsidR="00000CF2" w:rsidRPr="00E641B0">
        <w:rPr>
          <w:rFonts w:ascii="Times New Roman" w:hAnsi="Times New Roman"/>
          <w:lang w:eastAsia="ja-JP"/>
        </w:rPr>
        <w:t>sub-5MH</w:t>
      </w:r>
      <w:r w:rsidR="00000CF2">
        <w:rPr>
          <w:rFonts w:ascii="Times New Roman" w:hAnsi="Times New Roman"/>
          <w:lang w:eastAsia="ja-JP"/>
        </w:rPr>
        <w:t>z</w:t>
      </w:r>
      <w:r w:rsidR="00000CF2" w:rsidRPr="00E641B0">
        <w:rPr>
          <w:rFonts w:ascii="Times New Roman" w:hAnsi="Times New Roman"/>
          <w:lang w:eastAsia="ja-JP"/>
        </w:rPr>
        <w:t xml:space="preserve"> use-cases</w:t>
      </w:r>
      <w:r w:rsidR="00000CF2">
        <w:rPr>
          <w:rFonts w:ascii="Times New Roman" w:hAnsi="Times New Roman"/>
          <w:lang w:eastAsia="ja-JP"/>
        </w:rPr>
        <w:t xml:space="preserve"> and the ongoing RAN4 Study Item (SI) on “Irregular Bandwidths”</w:t>
      </w:r>
      <w:r w:rsidR="00C46BDD">
        <w:rPr>
          <w:rFonts w:ascii="Times New Roman" w:hAnsi="Times New Roman"/>
          <w:lang w:eastAsia="ja-JP"/>
        </w:rPr>
        <w:t xml:space="preserve"> [5]</w:t>
      </w:r>
      <w:r w:rsidR="00000CF2">
        <w:rPr>
          <w:rFonts w:ascii="Times New Roman" w:hAnsi="Times New Roman"/>
          <w:lang w:eastAsia="ja-JP"/>
        </w:rPr>
        <w:t>.</w:t>
      </w:r>
    </w:p>
    <w:p w14:paraId="0731D473" w14:textId="197B3D93" w:rsidR="00000CF2" w:rsidRDefault="00000CF2" w:rsidP="00000CF2">
      <w:pPr>
        <w:pStyle w:val="BodyText"/>
        <w:numPr>
          <w:ilvl w:val="0"/>
          <w:numId w:val="41"/>
        </w:numPr>
        <w:rPr>
          <w:rFonts w:ascii="Times New Roman" w:hAnsi="Times New Roman"/>
          <w:lang w:eastAsia="ja-JP"/>
        </w:rPr>
      </w:pPr>
      <w:r>
        <w:rPr>
          <w:rFonts w:ascii="Times New Roman" w:hAnsi="Times New Roman"/>
          <w:lang w:eastAsia="ja-JP"/>
        </w:rPr>
        <w:t>Additional “Puncturing” cases to be discussed in RAN1 on “SSB” and “CORESET#0”, and possible other physical channels and signals.</w:t>
      </w:r>
    </w:p>
    <w:p w14:paraId="27F60047" w14:textId="0DAF1ACB" w:rsidR="00000CF2" w:rsidRDefault="00000CF2" w:rsidP="00000CF2">
      <w:pPr>
        <w:pStyle w:val="BodyText"/>
        <w:numPr>
          <w:ilvl w:val="0"/>
          <w:numId w:val="41"/>
        </w:numPr>
        <w:rPr>
          <w:rFonts w:ascii="Times New Roman" w:hAnsi="Times New Roman"/>
          <w:lang w:eastAsia="ja-JP"/>
        </w:rPr>
      </w:pPr>
      <w:r>
        <w:rPr>
          <w:rFonts w:ascii="Times New Roman" w:hAnsi="Times New Roman"/>
          <w:lang w:eastAsia="ja-JP"/>
        </w:rPr>
        <w:t>Additional evaluations to determine e.g., if the sub-3MHz use-case will require a recovery technique since the SSB structure will be smaller than 15-PRBs.</w:t>
      </w:r>
    </w:p>
    <w:p w14:paraId="56BCB1C1" w14:textId="4F04A161" w:rsidR="00000CF2" w:rsidRDefault="00000CF2" w:rsidP="00000CF2">
      <w:pPr>
        <w:pStyle w:val="BodyText"/>
        <w:numPr>
          <w:ilvl w:val="0"/>
          <w:numId w:val="41"/>
        </w:numPr>
        <w:rPr>
          <w:rFonts w:ascii="Times New Roman" w:hAnsi="Times New Roman"/>
          <w:lang w:eastAsia="ja-JP"/>
        </w:rPr>
      </w:pPr>
      <w:r>
        <w:rPr>
          <w:rFonts w:ascii="Times New Roman" w:hAnsi="Times New Roman"/>
          <w:lang w:eastAsia="ja-JP"/>
        </w:rPr>
        <w:t>Extra considerations (e.g., disabling Frequency Ho</w:t>
      </w:r>
      <w:r w:rsidR="00B7727D">
        <w:rPr>
          <w:rFonts w:ascii="Times New Roman" w:hAnsi="Times New Roman"/>
          <w:lang w:eastAsia="ja-JP"/>
        </w:rPr>
        <w:t>p</w:t>
      </w:r>
      <w:r>
        <w:rPr>
          <w:rFonts w:ascii="Times New Roman" w:hAnsi="Times New Roman"/>
          <w:lang w:eastAsia="ja-JP"/>
        </w:rPr>
        <w:t>ping</w:t>
      </w:r>
      <w:r w:rsidR="00B7727D" w:rsidRPr="006F193F">
        <w:rPr>
          <w:rFonts w:ascii="Times New Roman" w:hAnsi="Times New Roman"/>
          <w:lang w:eastAsia="ja-JP"/>
        </w:rPr>
        <w:t xml:space="preserve"> for common PUCCH during </w:t>
      </w:r>
      <w:r w:rsidR="007519A3">
        <w:rPr>
          <w:rFonts w:ascii="Times New Roman" w:hAnsi="Times New Roman"/>
          <w:lang w:eastAsia="ja-JP"/>
        </w:rPr>
        <w:t>random access</w:t>
      </w:r>
      <w:r>
        <w:rPr>
          <w:rFonts w:ascii="Times New Roman" w:hAnsi="Times New Roman"/>
          <w:lang w:eastAsia="ja-JP"/>
        </w:rPr>
        <w:t>) not necessary for the 3MHz/5MHz, but necessary for supporting sub-cases</w:t>
      </w:r>
      <w:r w:rsidR="009A7A6E">
        <w:rPr>
          <w:rFonts w:ascii="Times New Roman" w:hAnsi="Times New Roman"/>
          <w:lang w:eastAsia="ja-JP"/>
        </w:rPr>
        <w:t xml:space="preserve"> (e.g., if </w:t>
      </w:r>
      <w:r w:rsidR="00C20592">
        <w:rPr>
          <w:rFonts w:ascii="Times New Roman" w:hAnsi="Times New Roman"/>
          <w:lang w:eastAsia="ja-JP"/>
        </w:rPr>
        <w:t>it were not possible to support a Bandwidth Part (BWP) smaller than the maximum transmission bandwidth due to</w:t>
      </w:r>
      <w:r w:rsidR="009A7A6E">
        <w:rPr>
          <w:rFonts w:ascii="Times New Roman" w:hAnsi="Times New Roman"/>
          <w:lang w:eastAsia="ja-JP"/>
        </w:rPr>
        <w:t xml:space="preserve"> </w:t>
      </w:r>
      <w:r w:rsidR="007519A3">
        <w:rPr>
          <w:rFonts w:ascii="Times New Roman" w:hAnsi="Times New Roman"/>
          <w:lang w:eastAsia="ja-JP"/>
        </w:rPr>
        <w:t xml:space="preserve">a </w:t>
      </w:r>
      <w:r w:rsidR="009A7A6E">
        <w:rPr>
          <w:rFonts w:ascii="Times New Roman" w:hAnsi="Times New Roman"/>
          <w:lang w:eastAsia="ja-JP"/>
        </w:rPr>
        <w:t xml:space="preserve">limitation at </w:t>
      </w:r>
      <w:r w:rsidR="005A147B">
        <w:rPr>
          <w:rFonts w:ascii="Times New Roman" w:hAnsi="Times New Roman"/>
          <w:lang w:eastAsia="ja-JP"/>
        </w:rPr>
        <w:t xml:space="preserve">the </w:t>
      </w:r>
      <w:r w:rsidR="009A7A6E">
        <w:rPr>
          <w:rFonts w:ascii="Times New Roman" w:hAnsi="Times New Roman"/>
          <w:lang w:eastAsia="ja-JP"/>
        </w:rPr>
        <w:t>UE side)</w:t>
      </w:r>
      <w:r>
        <w:rPr>
          <w:rFonts w:ascii="Times New Roman" w:hAnsi="Times New Roman"/>
          <w:lang w:eastAsia="ja-JP"/>
        </w:rPr>
        <w:t>.</w:t>
      </w:r>
    </w:p>
    <w:p w14:paraId="3DB1F8C0" w14:textId="07F3CED8" w:rsidR="00954AE6" w:rsidRDefault="00000CF2" w:rsidP="009743A0">
      <w:pPr>
        <w:pStyle w:val="BodyText"/>
        <w:numPr>
          <w:ilvl w:val="0"/>
          <w:numId w:val="41"/>
        </w:numPr>
        <w:rPr>
          <w:rFonts w:ascii="Times New Roman" w:hAnsi="Times New Roman"/>
          <w:lang w:eastAsia="ja-JP"/>
        </w:rPr>
      </w:pPr>
      <w:r>
        <w:rPr>
          <w:rFonts w:ascii="Times New Roman" w:hAnsi="Times New Roman"/>
          <w:lang w:eastAsia="ja-JP"/>
        </w:rPr>
        <w:t>Current Time Units allocated in RAN1, which may be just in the limit to finalize the support of the 3MHz channel bandwidth.</w:t>
      </w:r>
    </w:p>
    <w:p w14:paraId="2F52E420" w14:textId="77777777" w:rsidR="002717F9" w:rsidRDefault="002717F9" w:rsidP="002717F9">
      <w:pPr>
        <w:pStyle w:val="BodyText"/>
        <w:ind w:left="720"/>
        <w:rPr>
          <w:rFonts w:ascii="Times New Roman" w:hAnsi="Times New Roman"/>
          <w:lang w:eastAsia="ja-JP"/>
        </w:rPr>
      </w:pPr>
    </w:p>
    <w:p w14:paraId="29A37464" w14:textId="77777777" w:rsidR="002717F9" w:rsidRDefault="002717F9" w:rsidP="002717F9">
      <w:pPr>
        <w:pStyle w:val="Proposal"/>
      </w:pPr>
      <w:bookmarkStart w:id="12" w:name="_Toc129083448"/>
      <w:bookmarkEnd w:id="11"/>
      <w:r>
        <w:t>For RAN Plenary to recommend RAN1</w:t>
      </w:r>
      <w:r w:rsidRPr="002717F9">
        <w:t xml:space="preserve"> support</w:t>
      </w:r>
      <w:r>
        <w:t>ing</w:t>
      </w:r>
      <w:r w:rsidRPr="002717F9">
        <w:t xml:space="preserve"> the sub-3MHz (e.g., 2.8MHz) and/or sub-5MHz (e.g., 3.6MHz)) use-cases under the WI on “</w:t>
      </w:r>
      <w:r w:rsidRPr="002717F9">
        <w:rPr>
          <w:i/>
          <w:iCs/>
        </w:rPr>
        <w:t>NR support for dedicated spectrum less than 5MHz for FR1</w:t>
      </w:r>
      <w:r>
        <w:rPr>
          <w:i/>
          <w:iCs/>
        </w:rPr>
        <w:t>,</w:t>
      </w:r>
      <w:r w:rsidRPr="002717F9">
        <w:t>”</w:t>
      </w:r>
      <w:r>
        <w:t xml:space="preserve"> at least to following aspects should be considered:</w:t>
      </w:r>
      <w:bookmarkEnd w:id="12"/>
    </w:p>
    <w:p w14:paraId="0AD3A9A3" w14:textId="6C85E9A6" w:rsidR="009743A0" w:rsidRDefault="007519A3" w:rsidP="00062350">
      <w:pPr>
        <w:pStyle w:val="Proposal"/>
        <w:numPr>
          <w:ilvl w:val="0"/>
          <w:numId w:val="42"/>
        </w:numPr>
        <w:ind w:left="2127" w:hanging="426"/>
      </w:pPr>
      <w:bookmarkStart w:id="13" w:name="_Toc129083449"/>
      <w:r>
        <w:t xml:space="preserve">Additional </w:t>
      </w:r>
      <w:r w:rsidR="002717F9">
        <w:t>RRM impact (RAN4)</w:t>
      </w:r>
      <w:bookmarkEnd w:id="13"/>
    </w:p>
    <w:p w14:paraId="6AD169C1" w14:textId="2A990E15" w:rsidR="002717F9" w:rsidRDefault="007519A3" w:rsidP="00062350">
      <w:pPr>
        <w:pStyle w:val="Proposal"/>
        <w:numPr>
          <w:ilvl w:val="0"/>
          <w:numId w:val="42"/>
        </w:numPr>
        <w:ind w:left="2127" w:hanging="426"/>
      </w:pPr>
      <w:bookmarkStart w:id="14" w:name="_Toc129083450"/>
      <w:r>
        <w:t>Additional i</w:t>
      </w:r>
      <w:r w:rsidR="002717F9">
        <w:t>mpact on the sync-raster design (RAN4)</w:t>
      </w:r>
      <w:bookmarkEnd w:id="14"/>
    </w:p>
    <w:p w14:paraId="7ED30506" w14:textId="77777777" w:rsidR="002717F9" w:rsidRDefault="002717F9" w:rsidP="00062350">
      <w:pPr>
        <w:pStyle w:val="Proposal"/>
        <w:numPr>
          <w:ilvl w:val="0"/>
          <w:numId w:val="42"/>
        </w:numPr>
        <w:ind w:left="2127" w:hanging="426"/>
      </w:pPr>
      <w:bookmarkStart w:id="15" w:name="_Toc129083451"/>
      <w:r>
        <w:t>Relationship between the support of the sub-3MHz/sub-5MHz use-cases and the ongoing RAN4 Study Item (SI) on “Irregular Bandwidths”.</w:t>
      </w:r>
      <w:bookmarkEnd w:id="15"/>
    </w:p>
    <w:p w14:paraId="0074B763" w14:textId="77777777" w:rsidR="002717F9" w:rsidRDefault="002717F9" w:rsidP="00062350">
      <w:pPr>
        <w:pStyle w:val="Proposal"/>
        <w:numPr>
          <w:ilvl w:val="0"/>
          <w:numId w:val="42"/>
        </w:numPr>
        <w:ind w:left="2127" w:hanging="426"/>
      </w:pPr>
      <w:bookmarkStart w:id="16" w:name="_Toc129083452"/>
      <w:r>
        <w:t>Additional “Puncturing” cases to be discussed in RAN1 on “SSB” and “CORESET#0”, and possible other physical channels and signals.</w:t>
      </w:r>
      <w:bookmarkEnd w:id="16"/>
    </w:p>
    <w:p w14:paraId="18ABFC5A" w14:textId="77777777" w:rsidR="002717F9" w:rsidRDefault="002717F9" w:rsidP="00062350">
      <w:pPr>
        <w:pStyle w:val="Proposal"/>
        <w:numPr>
          <w:ilvl w:val="0"/>
          <w:numId w:val="42"/>
        </w:numPr>
        <w:ind w:left="2127" w:hanging="426"/>
      </w:pPr>
      <w:bookmarkStart w:id="17" w:name="_Toc129083453"/>
      <w:r>
        <w:lastRenderedPageBreak/>
        <w:t>Additional evaluations to determine e.g., if the sub-3MHz use-case will require a recovery technique since the SSB structure will be smaller than 15-PRBs.</w:t>
      </w:r>
      <w:bookmarkEnd w:id="17"/>
    </w:p>
    <w:p w14:paraId="18FCC2B2" w14:textId="321959AB" w:rsidR="002717F9" w:rsidRDefault="002717F9" w:rsidP="00062350">
      <w:pPr>
        <w:pStyle w:val="Proposal"/>
        <w:numPr>
          <w:ilvl w:val="0"/>
          <w:numId w:val="42"/>
        </w:numPr>
        <w:ind w:left="2127" w:hanging="426"/>
      </w:pPr>
      <w:bookmarkStart w:id="18" w:name="_Toc129083454"/>
      <w:r>
        <w:t>Extra considerations (e.g., disabling Frequency Hoping</w:t>
      </w:r>
      <w:r w:rsidR="007519A3">
        <w:t xml:space="preserve"> for common PUCCH during random access</w:t>
      </w:r>
      <w:r>
        <w:t>) not necessary for the 3MHz/5MHz, but necessary for supporting sub-cases</w:t>
      </w:r>
      <w:r w:rsidR="007519A3">
        <w:t xml:space="preserve"> </w:t>
      </w:r>
      <w:r w:rsidR="007519A3" w:rsidRPr="007519A3">
        <w:t xml:space="preserve">(e.g., if it were not possible to support a Bandwidth Part (BWP) smaller than the maximum transmission bandwidth due to </w:t>
      </w:r>
      <w:r w:rsidR="007519A3">
        <w:t xml:space="preserve">a </w:t>
      </w:r>
      <w:r w:rsidR="007519A3" w:rsidRPr="007519A3">
        <w:t xml:space="preserve">limitation at </w:t>
      </w:r>
      <w:r w:rsidR="005A147B">
        <w:t xml:space="preserve">the </w:t>
      </w:r>
      <w:r w:rsidR="007519A3" w:rsidRPr="007519A3">
        <w:t>UE side</w:t>
      </w:r>
      <w:r w:rsidR="00062350">
        <w:t>)</w:t>
      </w:r>
      <w:r>
        <w:t>.</w:t>
      </w:r>
      <w:bookmarkEnd w:id="18"/>
    </w:p>
    <w:p w14:paraId="5B0429B0" w14:textId="670A0F24" w:rsidR="002717F9" w:rsidRPr="009743A0" w:rsidRDefault="002717F9" w:rsidP="00062350">
      <w:pPr>
        <w:pStyle w:val="Proposal"/>
        <w:numPr>
          <w:ilvl w:val="0"/>
          <w:numId w:val="42"/>
        </w:numPr>
        <w:ind w:left="2127" w:hanging="426"/>
      </w:pPr>
      <w:bookmarkStart w:id="19" w:name="_Toc129083455"/>
      <w:r>
        <w:t>Current Time Units allocated in RAN1, which may be just in the limit to finalize the support of the 3MHz channel bandwidth.</w:t>
      </w:r>
      <w:bookmarkEnd w:id="19"/>
    </w:p>
    <w:p w14:paraId="659A4A6A" w14:textId="6D117FBC" w:rsidR="0046690A" w:rsidRPr="0046690A" w:rsidRDefault="003B2DFB" w:rsidP="0046690A">
      <w:pPr>
        <w:pStyle w:val="Heading1"/>
      </w:pPr>
      <w:r>
        <w:t>5</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0" w:name="_In-sequence_SDU_delivery"/>
    <w:bookmarkEnd w:id="20"/>
    <w:p w14:paraId="7602C068" w14:textId="45EF3383" w:rsidR="0037592C" w:rsidRDefault="000C11D5" w:rsidP="003759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9083443" w:history="1">
        <w:r w:rsidR="0037592C" w:rsidRPr="00D407E2">
          <w:rPr>
            <w:rStyle w:val="Hyperlink"/>
            <w:noProof/>
          </w:rPr>
          <w:t>Observation 1</w:t>
        </w:r>
        <w:r w:rsidR="0037592C">
          <w:rPr>
            <w:rFonts w:asciiTheme="minorHAnsi" w:eastAsiaTheme="minorEastAsia" w:hAnsiTheme="minorHAnsi" w:cstheme="minorBidi"/>
            <w:b w:val="0"/>
            <w:noProof/>
            <w:sz w:val="22"/>
            <w:szCs w:val="22"/>
            <w:lang w:val="en-SE" w:eastAsia="en-SE"/>
          </w:rPr>
          <w:tab/>
        </w:r>
        <w:r w:rsidR="0037592C" w:rsidRPr="00D407E2">
          <w:rPr>
            <w:rStyle w:val="Hyperlink"/>
            <w:noProof/>
          </w:rPr>
          <w:t>In RAN1# 111, it was agreed “in addition to reuse 5 MHz channel bandwidth, RAN1 suppose only 3 MHz channel bandwidth is supported, and would like to get RAN4 responses on the maximum transmission bandwidth (the number of PRBs) for this channel BW”.</w:t>
        </w:r>
      </w:hyperlink>
    </w:p>
    <w:p w14:paraId="629C4C9E" w14:textId="568828CC" w:rsidR="0037592C" w:rsidRDefault="005A6810" w:rsidP="003759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9083444" w:history="1">
        <w:r w:rsidR="0037592C" w:rsidRPr="00D407E2">
          <w:rPr>
            <w:rStyle w:val="Hyperlink"/>
            <w:noProof/>
          </w:rPr>
          <w:t>Observation 2</w:t>
        </w:r>
        <w:r w:rsidR="0037592C">
          <w:rPr>
            <w:rFonts w:asciiTheme="minorHAnsi" w:eastAsiaTheme="minorEastAsia" w:hAnsiTheme="minorHAnsi" w:cstheme="minorBidi"/>
            <w:b w:val="0"/>
            <w:noProof/>
            <w:sz w:val="22"/>
            <w:szCs w:val="22"/>
            <w:lang w:val="en-SE" w:eastAsia="en-SE"/>
          </w:rPr>
          <w:tab/>
        </w:r>
        <w:r w:rsidR="0037592C" w:rsidRPr="00D407E2">
          <w:rPr>
            <w:rStyle w:val="Hyperlink"/>
            <w:noProof/>
          </w:rPr>
          <w:t>To facilitate co-existence with e.g., GSM-R, it was mentioned that RAN1 should support a sub-3MHz (e.g., 2.8MHz) use-case and/or a sub-5MHz (e.g., 3.6MHz) use-case.</w:t>
        </w:r>
      </w:hyperlink>
    </w:p>
    <w:p w14:paraId="21342689" w14:textId="3A0665ED" w:rsidR="0037592C" w:rsidRDefault="005A6810" w:rsidP="003759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9083445" w:history="1">
        <w:r w:rsidR="0037592C" w:rsidRPr="00D407E2">
          <w:rPr>
            <w:rStyle w:val="Hyperlink"/>
            <w:noProof/>
          </w:rPr>
          <w:t>Observation 3</w:t>
        </w:r>
        <w:r w:rsidR="0037592C">
          <w:rPr>
            <w:rFonts w:asciiTheme="minorHAnsi" w:eastAsiaTheme="minorEastAsia" w:hAnsiTheme="minorHAnsi" w:cstheme="minorBidi"/>
            <w:b w:val="0"/>
            <w:noProof/>
            <w:sz w:val="22"/>
            <w:szCs w:val="22"/>
            <w:lang w:val="en-SE" w:eastAsia="en-SE"/>
          </w:rPr>
          <w:tab/>
        </w:r>
        <w:r w:rsidR="0037592C" w:rsidRPr="00D407E2">
          <w:rPr>
            <w:rStyle w:val="Hyperlink"/>
            <w:noProof/>
          </w:rPr>
          <w:t>The support of the sub-3MHz (2.8 MHz) and/or sub-5MHz (3.6MHz) use-cases was claimed to do not require any RAN4 RF impact. It was mentioned that the intention is to re-use the maximum transmission bandwidth for 3MHz/5MHz, confining UL and DL PHY-channels structures on transmission bandwidths contained within the maximum transmission bandwidth.</w:t>
        </w:r>
      </w:hyperlink>
    </w:p>
    <w:p w14:paraId="68B72724" w14:textId="490AA2AF" w:rsidR="0037592C" w:rsidRDefault="005A6810" w:rsidP="003759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9083446" w:history="1">
        <w:r w:rsidR="0037592C" w:rsidRPr="00D407E2">
          <w:rPr>
            <w:rStyle w:val="Hyperlink"/>
            <w:noProof/>
          </w:rPr>
          <w:t>Observation 4</w:t>
        </w:r>
        <w:r w:rsidR="0037592C">
          <w:rPr>
            <w:rFonts w:asciiTheme="minorHAnsi" w:eastAsiaTheme="minorEastAsia" w:hAnsiTheme="minorHAnsi" w:cstheme="minorBidi"/>
            <w:b w:val="0"/>
            <w:noProof/>
            <w:sz w:val="22"/>
            <w:szCs w:val="22"/>
            <w:lang w:val="en-SE" w:eastAsia="en-SE"/>
          </w:rPr>
          <w:tab/>
        </w:r>
        <w:r w:rsidR="0037592C" w:rsidRPr="00D407E2">
          <w:rPr>
            <w:rStyle w:val="Hyperlink"/>
            <w:noProof/>
          </w:rPr>
          <w:t>Based on existing agreements from RAN1#111: “reuse 5 MHz channel bandwidth, RAN1 suppose only 3 MHz channel bandwidth is supported”, and given that the potential support of sub-cases is not meant to cause any RAN4 RF impact, then there are two main branches (i.e., 3MHz and 5MHz channel bandwidths) under the scope of the WI on “NR support for dedicated spectrum less than 5MHz for FR1”, whereas the support of the sub-branches (i.e., sub-3MHz (e.g., 2.8 MHz) and/or sub-5MHz (e.g., 3.6MHz) use-cases) will depend on the recommendation from RAN Plenary.</w:t>
        </w:r>
      </w:hyperlink>
    </w:p>
    <w:p w14:paraId="1595D08F" w14:textId="556573F5"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B3766AE" w14:textId="1B80788F" w:rsidR="0037592C"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9083448" w:history="1">
        <w:r w:rsidR="0037592C" w:rsidRPr="00AA5647">
          <w:rPr>
            <w:rStyle w:val="Hyperlink"/>
            <w:noProof/>
          </w:rPr>
          <w:t>Proposal 1</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For RAN Plenary to recommend RAN1 supporting the sub-3MHz (e.g., 2.8MHz) and/or sub-5MHz (e.g., 3.6MHz)) use-cases under the WI on “</w:t>
        </w:r>
        <w:r w:rsidR="0037592C" w:rsidRPr="00AA5647">
          <w:rPr>
            <w:rStyle w:val="Hyperlink"/>
            <w:i/>
            <w:iCs/>
            <w:noProof/>
          </w:rPr>
          <w:t>NR support for dedicated spectrum less than 5MHz for FR1,</w:t>
        </w:r>
        <w:r w:rsidR="0037592C" w:rsidRPr="00AA5647">
          <w:rPr>
            <w:rStyle w:val="Hyperlink"/>
            <w:noProof/>
          </w:rPr>
          <w:t>” at least to following aspects should be considered:</w:t>
        </w:r>
      </w:hyperlink>
    </w:p>
    <w:p w14:paraId="076AE1F4" w14:textId="7F134573"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49" w:history="1">
        <w:r w:rsidR="0037592C" w:rsidRPr="00AA5647">
          <w:rPr>
            <w:rStyle w:val="Hyperlink"/>
            <w:noProof/>
          </w:rPr>
          <w:t>1.</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Additional RRM impact (RAN4)</w:t>
        </w:r>
      </w:hyperlink>
    </w:p>
    <w:p w14:paraId="2A6AFEB8" w14:textId="6ACBC47B"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0" w:history="1">
        <w:r w:rsidR="0037592C" w:rsidRPr="00AA5647">
          <w:rPr>
            <w:rStyle w:val="Hyperlink"/>
            <w:noProof/>
          </w:rPr>
          <w:t>2.</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Additional impact on the sync-raster design (RAN4)</w:t>
        </w:r>
      </w:hyperlink>
    </w:p>
    <w:p w14:paraId="65BAB1B5" w14:textId="22D2F07E"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1" w:history="1">
        <w:r w:rsidR="0037592C" w:rsidRPr="00AA5647">
          <w:rPr>
            <w:rStyle w:val="Hyperlink"/>
            <w:noProof/>
          </w:rPr>
          <w:t>3.</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Relationship between the support of the sub-3MHz/sub-5MHz use-cases and the ongoing RAN4 Study Item (SI) on “Irregular Bandwidths”.</w:t>
        </w:r>
      </w:hyperlink>
    </w:p>
    <w:p w14:paraId="464056ED" w14:textId="490E9353"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2" w:history="1">
        <w:r w:rsidR="0037592C" w:rsidRPr="00AA5647">
          <w:rPr>
            <w:rStyle w:val="Hyperlink"/>
            <w:noProof/>
          </w:rPr>
          <w:t>4.</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Additional “Puncturing” cases to be discussed in RAN1 on “SSB” and “CORESET#0”, and possible other physical channels and signals.</w:t>
        </w:r>
      </w:hyperlink>
    </w:p>
    <w:p w14:paraId="2D53AAB3" w14:textId="031F1032"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3" w:history="1">
        <w:r w:rsidR="0037592C" w:rsidRPr="00AA5647">
          <w:rPr>
            <w:rStyle w:val="Hyperlink"/>
            <w:noProof/>
          </w:rPr>
          <w:t>5.</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Additional evaluations to determine e.g., if the sub-3MHz use-case will require a recovery technique since the SSB structure will be smaller than 15-PRBs.</w:t>
        </w:r>
      </w:hyperlink>
    </w:p>
    <w:p w14:paraId="7DC85E61" w14:textId="2606C5C8"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4" w:history="1">
        <w:r w:rsidR="0037592C" w:rsidRPr="00AA5647">
          <w:rPr>
            <w:rStyle w:val="Hyperlink"/>
            <w:noProof/>
          </w:rPr>
          <w:t>6.</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 xml:space="preserve">Extra considerations (e.g., disabling Frequency Hoping for common PUCCH during random access) not necessary for the 3MHz/5MHz, but necessary for supporting sub-cases (e.g., if it were not possible to support a Bandwidth Part (BWP) smaller than the maximum transmission bandwidth due to a limitation at </w:t>
        </w:r>
        <w:r w:rsidR="005A147B">
          <w:rPr>
            <w:rStyle w:val="Hyperlink"/>
            <w:noProof/>
          </w:rPr>
          <w:t xml:space="preserve">the </w:t>
        </w:r>
        <w:r w:rsidR="0037592C" w:rsidRPr="00AA5647">
          <w:rPr>
            <w:rStyle w:val="Hyperlink"/>
            <w:noProof/>
          </w:rPr>
          <w:t>UE side).</w:t>
        </w:r>
      </w:hyperlink>
    </w:p>
    <w:p w14:paraId="0AD9A8C7" w14:textId="7B510707" w:rsidR="0037592C" w:rsidRDefault="005A6810" w:rsidP="0037592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29083455" w:history="1">
        <w:r w:rsidR="0037592C" w:rsidRPr="00AA5647">
          <w:rPr>
            <w:rStyle w:val="Hyperlink"/>
            <w:noProof/>
          </w:rPr>
          <w:t>7.</w:t>
        </w:r>
        <w:r w:rsidR="0037592C">
          <w:rPr>
            <w:rFonts w:asciiTheme="minorHAnsi" w:eastAsiaTheme="minorEastAsia" w:hAnsiTheme="minorHAnsi" w:cstheme="minorBidi"/>
            <w:b w:val="0"/>
            <w:noProof/>
            <w:sz w:val="22"/>
            <w:szCs w:val="22"/>
            <w:lang w:val="en-SE" w:eastAsia="en-SE"/>
          </w:rPr>
          <w:tab/>
        </w:r>
        <w:r w:rsidR="0037592C" w:rsidRPr="00AA5647">
          <w:rPr>
            <w:rStyle w:val="Hyperlink"/>
            <w:noProof/>
          </w:rPr>
          <w:t>Current Time Units allocated in RAN1, which may be just in the limit to finalize the support of the 3MHz channel bandwidth.</w:t>
        </w:r>
      </w:hyperlink>
    </w:p>
    <w:p w14:paraId="337FD414" w14:textId="5B2C7F62"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3CC1C8BA" w14:textId="77777777" w:rsidR="00E72811" w:rsidRDefault="005A6810" w:rsidP="00E72811">
      <w:pPr>
        <w:pStyle w:val="Reference"/>
      </w:pPr>
      <w:hyperlink r:id="rId17" w:history="1">
        <w:r w:rsidR="00E72811" w:rsidRPr="003F501F">
          <w:rPr>
            <w:rStyle w:val="Hyperlink"/>
          </w:rPr>
          <w:t>R1-2211572</w:t>
        </w:r>
      </w:hyperlink>
      <w:r w:rsidR="00E72811">
        <w:t>, “</w:t>
      </w:r>
      <w:r w:rsidR="00E72811" w:rsidRPr="003F501F">
        <w:t>Enhancements to operate NR on dedicated spectrum less than 5 MHz</w:t>
      </w:r>
      <w:r w:rsidR="00E72811">
        <w:t xml:space="preserve">,” RAN1” 111, </w:t>
      </w:r>
      <w:r w:rsidR="00E72811" w:rsidRPr="003F501F">
        <w:t>Toulouse, France, August 14th – 18th, 2022</w:t>
      </w:r>
      <w:r w:rsidR="00E72811">
        <w:t>.</w:t>
      </w:r>
    </w:p>
    <w:p w14:paraId="243818AE" w14:textId="7B7114A4" w:rsidR="001774FF" w:rsidRDefault="005A6810" w:rsidP="00F22BD5">
      <w:pPr>
        <w:pStyle w:val="Reference"/>
      </w:pPr>
      <w:hyperlink r:id="rId18" w:history="1">
        <w:r w:rsidR="001774FF" w:rsidRPr="001774FF">
          <w:rPr>
            <w:rStyle w:val="Hyperlink"/>
          </w:rPr>
          <w:t>R1- 2302186</w:t>
        </w:r>
      </w:hyperlink>
      <w:r w:rsidR="001774FF">
        <w:t>, “</w:t>
      </w:r>
      <w:r w:rsidR="001774FF" w:rsidRPr="001774FF">
        <w:t>LS to RAN on transmission bandwidths for NR on dedicated spectrum less than 5 MHz</w:t>
      </w:r>
      <w:r w:rsidR="001774FF">
        <w:t xml:space="preserve">,” RAN1# 112, </w:t>
      </w:r>
      <w:r w:rsidR="001774FF" w:rsidRPr="001774FF">
        <w:t>Athens, Greece, February 27th – March 3rd, 2023</w:t>
      </w:r>
      <w:r w:rsidR="001774FF">
        <w:t>.</w:t>
      </w:r>
    </w:p>
    <w:p w14:paraId="227C2F62" w14:textId="5DF51340" w:rsidR="003B32A0" w:rsidRDefault="003B32A0" w:rsidP="003B32A0">
      <w:pPr>
        <w:pStyle w:val="Reference"/>
      </w:pPr>
      <w:r>
        <w:t xml:space="preserve">Chairman Notes RAN1#111, Agenda Item 9.16.1, Toulouse, France, </w:t>
      </w:r>
      <w:r w:rsidR="00CF508A" w:rsidRPr="00CF508A">
        <w:t xml:space="preserve">November 14th – 18th, </w:t>
      </w:r>
      <w:r w:rsidRPr="0032672E">
        <w:t>202</w:t>
      </w:r>
      <w:r w:rsidR="00CF508A">
        <w:t>3</w:t>
      </w:r>
      <w:r>
        <w:t>.</w:t>
      </w:r>
    </w:p>
    <w:p w14:paraId="51912A9C" w14:textId="60109CE9" w:rsidR="003B32A0" w:rsidRDefault="005A6810" w:rsidP="003B32A0">
      <w:pPr>
        <w:pStyle w:val="Reference"/>
      </w:pPr>
      <w:hyperlink r:id="rId19" w:history="1">
        <w:r w:rsidR="003B32A0" w:rsidRPr="003B32A0">
          <w:rPr>
            <w:rStyle w:val="Hyperlink"/>
          </w:rPr>
          <w:t>R1- 2212919</w:t>
        </w:r>
      </w:hyperlink>
      <w:r w:rsidR="003B32A0">
        <w:t>, Liaison Statement: “</w:t>
      </w:r>
      <w:r w:rsidR="003B32A0" w:rsidRPr="003B32A0">
        <w:t>LS on NR support for dedicated spectrum less than 5MHz for FR1</w:t>
      </w:r>
      <w:r w:rsidR="003B32A0">
        <w:t>,”</w:t>
      </w:r>
      <w:r w:rsidR="003B32A0" w:rsidRPr="003B32A0">
        <w:t xml:space="preserve"> </w:t>
      </w:r>
      <w:r w:rsidR="003B32A0">
        <w:t xml:space="preserve">Toulouse, France, </w:t>
      </w:r>
      <w:r w:rsidR="003B32A0" w:rsidRPr="0032672E">
        <w:t xml:space="preserve">August </w:t>
      </w:r>
      <w:r w:rsidR="003B32A0">
        <w:t>14</w:t>
      </w:r>
      <w:r w:rsidR="003B32A0" w:rsidRPr="003B32A0">
        <w:rPr>
          <w:vertAlign w:val="superscript"/>
        </w:rPr>
        <w:t>th</w:t>
      </w:r>
      <w:r w:rsidR="003B32A0" w:rsidRPr="0032672E">
        <w:t xml:space="preserve"> – </w:t>
      </w:r>
      <w:r w:rsidR="003B32A0">
        <w:t>18</w:t>
      </w:r>
      <w:r w:rsidR="003B32A0" w:rsidRPr="00456358">
        <w:rPr>
          <w:vertAlign w:val="superscript"/>
        </w:rPr>
        <w:t>th</w:t>
      </w:r>
      <w:r w:rsidR="003B32A0" w:rsidRPr="0032672E">
        <w:t>, 2022</w:t>
      </w:r>
      <w:r w:rsidR="003B32A0">
        <w:t>.</w:t>
      </w:r>
    </w:p>
    <w:p w14:paraId="41CCAFB3" w14:textId="1CEBD355" w:rsidR="00C46BDD" w:rsidRDefault="00C46BDD" w:rsidP="00C46BDD">
      <w:pPr>
        <w:pStyle w:val="Reference"/>
      </w:pPr>
      <w:hyperlink r:id="rId20" w:history="1">
        <w:r w:rsidRPr="00C46BDD">
          <w:rPr>
            <w:rStyle w:val="Hyperlink"/>
          </w:rPr>
          <w:t>RP-230495</w:t>
        </w:r>
      </w:hyperlink>
      <w:r>
        <w:t>, “</w:t>
      </w:r>
      <w:r w:rsidRPr="00C46BDD">
        <w:t>On the UE CHBW and BWP configuration flexibility</w:t>
      </w:r>
      <w:r>
        <w:t xml:space="preserve">,” </w:t>
      </w:r>
      <w:r w:rsidRPr="00C46BDD">
        <w:t>3GPP TSG-RAN Meeting #99</w:t>
      </w:r>
      <w:r>
        <w:t xml:space="preserve">, </w:t>
      </w:r>
      <w:r w:rsidRPr="00C46BDD">
        <w:t>Rotterdam, Netherlands, March 20</w:t>
      </w:r>
      <w:r w:rsidRPr="00C46BDD">
        <w:rPr>
          <w:vertAlign w:val="superscript"/>
        </w:rPr>
        <w:t>th</w:t>
      </w:r>
      <w:r w:rsidRPr="00C46BDD">
        <w:t xml:space="preserve"> – 23</w:t>
      </w:r>
      <w:r w:rsidRPr="00C46BDD">
        <w:rPr>
          <w:vertAlign w:val="superscript"/>
        </w:rPr>
        <w:t>rd</w:t>
      </w:r>
      <w:r w:rsidRPr="00C46BDD">
        <w:t>, 2023</w:t>
      </w:r>
      <w:r>
        <w:t>.</w:t>
      </w:r>
    </w:p>
    <w:sectPr w:rsidR="00C46BDD"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16DD" w14:textId="77777777" w:rsidR="00872CB2" w:rsidRDefault="00872CB2">
      <w:r>
        <w:separator/>
      </w:r>
    </w:p>
  </w:endnote>
  <w:endnote w:type="continuationSeparator" w:id="0">
    <w:p w14:paraId="6F1B1A55" w14:textId="77777777" w:rsidR="00872CB2" w:rsidRDefault="00872CB2">
      <w:r>
        <w:continuationSeparator/>
      </w:r>
    </w:p>
  </w:endnote>
  <w:endnote w:type="continuationNotice" w:id="1">
    <w:p w14:paraId="689DD9A2"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9C72" w14:textId="77777777" w:rsidR="00872CB2" w:rsidRDefault="00872CB2">
      <w:r>
        <w:separator/>
      </w:r>
    </w:p>
  </w:footnote>
  <w:footnote w:type="continuationSeparator" w:id="0">
    <w:p w14:paraId="6706315A" w14:textId="77777777" w:rsidR="00872CB2" w:rsidRDefault="00872CB2">
      <w:r>
        <w:continuationSeparator/>
      </w:r>
    </w:p>
  </w:footnote>
  <w:footnote w:type="continuationNotice" w:id="1">
    <w:p w14:paraId="66067C52"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84DD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F494F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4CB1C0E"/>
    <w:multiLevelType w:val="hybridMultilevel"/>
    <w:tmpl w:val="19623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526AA"/>
    <w:multiLevelType w:val="hybridMultilevel"/>
    <w:tmpl w:val="70E0DF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E7E0E41"/>
    <w:multiLevelType w:val="hybridMultilevel"/>
    <w:tmpl w:val="3BFEE90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C21D61"/>
    <w:multiLevelType w:val="hybridMultilevel"/>
    <w:tmpl w:val="9DD8D836"/>
    <w:lvl w:ilvl="0" w:tplc="20000001">
      <w:start w:val="1"/>
      <w:numFmt w:val="bullet"/>
      <w:lvlText w:val=""/>
      <w:lvlJc w:val="left"/>
      <w:pPr>
        <w:ind w:left="2525" w:hanging="360"/>
      </w:pPr>
      <w:rPr>
        <w:rFonts w:ascii="Symbol" w:hAnsi="Symbol" w:hint="default"/>
      </w:rPr>
    </w:lvl>
    <w:lvl w:ilvl="1" w:tplc="20000003" w:tentative="1">
      <w:start w:val="1"/>
      <w:numFmt w:val="bullet"/>
      <w:lvlText w:val="o"/>
      <w:lvlJc w:val="left"/>
      <w:pPr>
        <w:ind w:left="3245" w:hanging="360"/>
      </w:pPr>
      <w:rPr>
        <w:rFonts w:ascii="Courier New" w:hAnsi="Courier New" w:cs="Courier New" w:hint="default"/>
      </w:rPr>
    </w:lvl>
    <w:lvl w:ilvl="2" w:tplc="20000005" w:tentative="1">
      <w:start w:val="1"/>
      <w:numFmt w:val="bullet"/>
      <w:lvlText w:val=""/>
      <w:lvlJc w:val="left"/>
      <w:pPr>
        <w:ind w:left="3965" w:hanging="360"/>
      </w:pPr>
      <w:rPr>
        <w:rFonts w:ascii="Wingdings" w:hAnsi="Wingdings" w:hint="default"/>
      </w:rPr>
    </w:lvl>
    <w:lvl w:ilvl="3" w:tplc="20000001" w:tentative="1">
      <w:start w:val="1"/>
      <w:numFmt w:val="bullet"/>
      <w:lvlText w:val=""/>
      <w:lvlJc w:val="left"/>
      <w:pPr>
        <w:ind w:left="4685" w:hanging="360"/>
      </w:pPr>
      <w:rPr>
        <w:rFonts w:ascii="Symbol" w:hAnsi="Symbol" w:hint="default"/>
      </w:rPr>
    </w:lvl>
    <w:lvl w:ilvl="4" w:tplc="20000003" w:tentative="1">
      <w:start w:val="1"/>
      <w:numFmt w:val="bullet"/>
      <w:lvlText w:val="o"/>
      <w:lvlJc w:val="left"/>
      <w:pPr>
        <w:ind w:left="5405" w:hanging="360"/>
      </w:pPr>
      <w:rPr>
        <w:rFonts w:ascii="Courier New" w:hAnsi="Courier New" w:cs="Courier New" w:hint="default"/>
      </w:rPr>
    </w:lvl>
    <w:lvl w:ilvl="5" w:tplc="20000005" w:tentative="1">
      <w:start w:val="1"/>
      <w:numFmt w:val="bullet"/>
      <w:lvlText w:val=""/>
      <w:lvlJc w:val="left"/>
      <w:pPr>
        <w:ind w:left="6125" w:hanging="360"/>
      </w:pPr>
      <w:rPr>
        <w:rFonts w:ascii="Wingdings" w:hAnsi="Wingdings" w:hint="default"/>
      </w:rPr>
    </w:lvl>
    <w:lvl w:ilvl="6" w:tplc="20000001" w:tentative="1">
      <w:start w:val="1"/>
      <w:numFmt w:val="bullet"/>
      <w:lvlText w:val=""/>
      <w:lvlJc w:val="left"/>
      <w:pPr>
        <w:ind w:left="6845" w:hanging="360"/>
      </w:pPr>
      <w:rPr>
        <w:rFonts w:ascii="Symbol" w:hAnsi="Symbol" w:hint="default"/>
      </w:rPr>
    </w:lvl>
    <w:lvl w:ilvl="7" w:tplc="20000003" w:tentative="1">
      <w:start w:val="1"/>
      <w:numFmt w:val="bullet"/>
      <w:lvlText w:val="o"/>
      <w:lvlJc w:val="left"/>
      <w:pPr>
        <w:ind w:left="7565" w:hanging="360"/>
      </w:pPr>
      <w:rPr>
        <w:rFonts w:ascii="Courier New" w:hAnsi="Courier New" w:cs="Courier New" w:hint="default"/>
      </w:rPr>
    </w:lvl>
    <w:lvl w:ilvl="8" w:tplc="20000005" w:tentative="1">
      <w:start w:val="1"/>
      <w:numFmt w:val="bullet"/>
      <w:lvlText w:val=""/>
      <w:lvlJc w:val="left"/>
      <w:pPr>
        <w:ind w:left="8285" w:hanging="360"/>
      </w:pPr>
      <w:rPr>
        <w:rFonts w:ascii="Wingdings" w:hAnsi="Wingdings" w:hint="default"/>
      </w:rPr>
    </w:lvl>
  </w:abstractNum>
  <w:abstractNum w:abstractNumId="8"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AA012F"/>
    <w:multiLevelType w:val="hybridMultilevel"/>
    <w:tmpl w:val="4088F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73F57A8"/>
    <w:multiLevelType w:val="hybridMultilevel"/>
    <w:tmpl w:val="39D069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BD489C"/>
    <w:multiLevelType w:val="hybridMultilevel"/>
    <w:tmpl w:val="912020C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F21E2"/>
    <w:multiLevelType w:val="hybridMultilevel"/>
    <w:tmpl w:val="07245C32"/>
    <w:lvl w:ilvl="0" w:tplc="20000001">
      <w:start w:val="1"/>
      <w:numFmt w:val="bullet"/>
      <w:lvlText w:val=""/>
      <w:lvlJc w:val="left"/>
      <w:pPr>
        <w:ind w:left="4122"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401F65"/>
    <w:multiLevelType w:val="hybridMultilevel"/>
    <w:tmpl w:val="27926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BF3FDD"/>
    <w:multiLevelType w:val="hybridMultilevel"/>
    <w:tmpl w:val="61AEEEB6"/>
    <w:lvl w:ilvl="0" w:tplc="B5A8667A">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C52222"/>
    <w:multiLevelType w:val="hybridMultilevel"/>
    <w:tmpl w:val="480A0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9B16D8"/>
    <w:multiLevelType w:val="hybridMultilevel"/>
    <w:tmpl w:val="4140BA30"/>
    <w:lvl w:ilvl="0" w:tplc="B5A8667A">
      <w:numFmt w:val="bullet"/>
      <w:lvlText w:val="-"/>
      <w:lvlJc w:val="left"/>
      <w:pPr>
        <w:ind w:left="2421" w:hanging="360"/>
      </w:pPr>
      <w:rPr>
        <w:rFonts w:ascii="Times" w:eastAsia="Batang" w:hAnsi="Times" w:cs="Time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A416C9B"/>
    <w:multiLevelType w:val="hybridMultilevel"/>
    <w:tmpl w:val="92C07858"/>
    <w:lvl w:ilvl="0" w:tplc="2000000F">
      <w:start w:val="1"/>
      <w:numFmt w:val="decimal"/>
      <w:lvlText w:val="%1."/>
      <w:lvlJc w:val="left"/>
      <w:pPr>
        <w:ind w:left="2523" w:hanging="360"/>
      </w:pPr>
    </w:lvl>
    <w:lvl w:ilvl="1" w:tplc="20000019" w:tentative="1">
      <w:start w:val="1"/>
      <w:numFmt w:val="lowerLetter"/>
      <w:lvlText w:val="%2."/>
      <w:lvlJc w:val="left"/>
      <w:pPr>
        <w:ind w:left="3243" w:hanging="360"/>
      </w:pPr>
    </w:lvl>
    <w:lvl w:ilvl="2" w:tplc="2000001B" w:tentative="1">
      <w:start w:val="1"/>
      <w:numFmt w:val="lowerRoman"/>
      <w:lvlText w:val="%3."/>
      <w:lvlJc w:val="right"/>
      <w:pPr>
        <w:ind w:left="3963" w:hanging="180"/>
      </w:pPr>
    </w:lvl>
    <w:lvl w:ilvl="3" w:tplc="2000000F" w:tentative="1">
      <w:start w:val="1"/>
      <w:numFmt w:val="decimal"/>
      <w:lvlText w:val="%4."/>
      <w:lvlJc w:val="left"/>
      <w:pPr>
        <w:ind w:left="4683" w:hanging="360"/>
      </w:pPr>
    </w:lvl>
    <w:lvl w:ilvl="4" w:tplc="20000019" w:tentative="1">
      <w:start w:val="1"/>
      <w:numFmt w:val="lowerLetter"/>
      <w:lvlText w:val="%5."/>
      <w:lvlJc w:val="left"/>
      <w:pPr>
        <w:ind w:left="5403" w:hanging="360"/>
      </w:pPr>
    </w:lvl>
    <w:lvl w:ilvl="5" w:tplc="2000001B" w:tentative="1">
      <w:start w:val="1"/>
      <w:numFmt w:val="lowerRoman"/>
      <w:lvlText w:val="%6."/>
      <w:lvlJc w:val="right"/>
      <w:pPr>
        <w:ind w:left="6123" w:hanging="180"/>
      </w:pPr>
    </w:lvl>
    <w:lvl w:ilvl="6" w:tplc="2000000F" w:tentative="1">
      <w:start w:val="1"/>
      <w:numFmt w:val="decimal"/>
      <w:lvlText w:val="%7."/>
      <w:lvlJc w:val="left"/>
      <w:pPr>
        <w:ind w:left="6843" w:hanging="360"/>
      </w:pPr>
    </w:lvl>
    <w:lvl w:ilvl="7" w:tplc="20000019" w:tentative="1">
      <w:start w:val="1"/>
      <w:numFmt w:val="lowerLetter"/>
      <w:lvlText w:val="%8."/>
      <w:lvlJc w:val="left"/>
      <w:pPr>
        <w:ind w:left="7563" w:hanging="360"/>
      </w:pPr>
    </w:lvl>
    <w:lvl w:ilvl="8" w:tplc="2000001B" w:tentative="1">
      <w:start w:val="1"/>
      <w:numFmt w:val="lowerRoman"/>
      <w:lvlText w:val="%9."/>
      <w:lvlJc w:val="right"/>
      <w:pPr>
        <w:ind w:left="8283" w:hanging="180"/>
      </w:p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52001"/>
    <w:multiLevelType w:val="hybridMultilevel"/>
    <w:tmpl w:val="0E3681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8137C"/>
    <w:multiLevelType w:val="hybridMultilevel"/>
    <w:tmpl w:val="23C49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BE17EA4"/>
    <w:multiLevelType w:val="hybridMultilevel"/>
    <w:tmpl w:val="421A5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F205F0"/>
    <w:multiLevelType w:val="hybridMultilevel"/>
    <w:tmpl w:val="00DAFBA6"/>
    <w:lvl w:ilvl="0" w:tplc="B5A8667A">
      <w:numFmt w:val="bullet"/>
      <w:lvlText w:val="-"/>
      <w:lvlJc w:val="left"/>
      <w:pPr>
        <w:ind w:left="2421" w:hanging="360"/>
      </w:pPr>
      <w:rPr>
        <w:rFonts w:ascii="Times" w:eastAsia="Batang" w:hAnsi="Times" w:cs="Times"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3"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600CB"/>
    <w:multiLevelType w:val="hybridMultilevel"/>
    <w:tmpl w:val="EED85866"/>
    <w:lvl w:ilvl="0" w:tplc="FFFFFFFF">
      <w:numFmt w:val="bullet"/>
      <w:lvlText w:val="-"/>
      <w:lvlJc w:val="left"/>
      <w:pPr>
        <w:ind w:left="2421" w:hanging="360"/>
      </w:pPr>
      <w:rPr>
        <w:rFonts w:ascii="Times" w:eastAsia="Batang" w:hAnsi="Times" w:cs="Times" w:hint="default"/>
      </w:rPr>
    </w:lvl>
    <w:lvl w:ilvl="1" w:tplc="FFFFFFFF">
      <w:start w:val="1"/>
      <w:numFmt w:val="bullet"/>
      <w:lvlText w:val="o"/>
      <w:lvlJc w:val="left"/>
      <w:pPr>
        <w:ind w:left="3141" w:hanging="360"/>
      </w:pPr>
      <w:rPr>
        <w:rFonts w:ascii="Courier New" w:hAnsi="Courier New" w:cs="Courier New" w:hint="default"/>
      </w:rPr>
    </w:lvl>
    <w:lvl w:ilvl="2" w:tplc="FFFFFFFF">
      <w:start w:val="1"/>
      <w:numFmt w:val="bullet"/>
      <w:lvlText w:val=""/>
      <w:lvlJc w:val="left"/>
      <w:pPr>
        <w:ind w:left="3861" w:hanging="360"/>
      </w:pPr>
      <w:rPr>
        <w:rFonts w:ascii="Wingdings" w:hAnsi="Wingdings"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7" w15:restartNumberingAfterBreak="0">
    <w:nsid w:val="71A358CF"/>
    <w:multiLevelType w:val="hybridMultilevel"/>
    <w:tmpl w:val="8C96F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5"/>
  </w:num>
  <w:num w:numId="2" w16cid:durableId="197671416">
    <w:abstractNumId w:val="18"/>
  </w:num>
  <w:num w:numId="3" w16cid:durableId="252864564">
    <w:abstractNumId w:val="2"/>
  </w:num>
  <w:num w:numId="4" w16cid:durableId="722293659">
    <w:abstractNumId w:val="27"/>
  </w:num>
  <w:num w:numId="5" w16cid:durableId="271137240">
    <w:abstractNumId w:val="28"/>
  </w:num>
  <w:num w:numId="6" w16cid:durableId="630601082">
    <w:abstractNumId w:val="30"/>
  </w:num>
  <w:num w:numId="7" w16cid:durableId="111829169">
    <w:abstractNumId w:val="9"/>
  </w:num>
  <w:num w:numId="8" w16cid:durableId="118766623">
    <w:abstractNumId w:val="13"/>
  </w:num>
  <w:num w:numId="9" w16cid:durableId="239489556">
    <w:abstractNumId w:val="4"/>
  </w:num>
  <w:num w:numId="10" w16cid:durableId="927808816">
    <w:abstractNumId w:val="38"/>
  </w:num>
  <w:num w:numId="11" w16cid:durableId="70585384">
    <w:abstractNumId w:val="16"/>
  </w:num>
  <w:num w:numId="12" w16cid:durableId="178203181">
    <w:abstractNumId w:val="34"/>
  </w:num>
  <w:num w:numId="13" w16cid:durableId="1310401647">
    <w:abstractNumId w:val="15"/>
  </w:num>
  <w:num w:numId="14" w16cid:durableId="1559248217">
    <w:abstractNumId w:val="40"/>
  </w:num>
  <w:num w:numId="15" w16cid:durableId="850341470">
    <w:abstractNumId w:val="35"/>
  </w:num>
  <w:num w:numId="16" w16cid:durableId="343434043">
    <w:abstractNumId w:val="24"/>
  </w:num>
  <w:num w:numId="17" w16cid:durableId="429155923">
    <w:abstractNumId w:val="20"/>
  </w:num>
  <w:num w:numId="18" w16cid:durableId="1156455296">
    <w:abstractNumId w:val="33"/>
  </w:num>
  <w:num w:numId="19" w16cid:durableId="109475144">
    <w:abstractNumId w:val="39"/>
  </w:num>
  <w:num w:numId="20" w16cid:durableId="2137530042">
    <w:abstractNumId w:val="39"/>
  </w:num>
  <w:num w:numId="21" w16cid:durableId="2125995091">
    <w:abstractNumId w:val="7"/>
  </w:num>
  <w:num w:numId="22" w16cid:durableId="1011178539">
    <w:abstractNumId w:val="5"/>
  </w:num>
  <w:num w:numId="23" w16cid:durableId="869143791">
    <w:abstractNumId w:val="29"/>
  </w:num>
  <w:num w:numId="24" w16cid:durableId="1427312341">
    <w:abstractNumId w:val="3"/>
  </w:num>
  <w:num w:numId="25" w16cid:durableId="1572810081">
    <w:abstractNumId w:val="10"/>
  </w:num>
  <w:num w:numId="26" w16cid:durableId="78137853">
    <w:abstractNumId w:val="37"/>
  </w:num>
  <w:num w:numId="27" w16cid:durableId="176231756">
    <w:abstractNumId w:val="31"/>
  </w:num>
  <w:num w:numId="28" w16cid:durableId="2088379104">
    <w:abstractNumId w:val="12"/>
  </w:num>
  <w:num w:numId="29" w16cid:durableId="1625455852">
    <w:abstractNumId w:val="21"/>
  </w:num>
  <w:num w:numId="30" w16cid:durableId="1537497551">
    <w:abstractNumId w:val="19"/>
  </w:num>
  <w:num w:numId="31" w16cid:durableId="1128550341">
    <w:abstractNumId w:val="22"/>
  </w:num>
  <w:num w:numId="32" w16cid:durableId="1697846267">
    <w:abstractNumId w:val="17"/>
  </w:num>
  <w:num w:numId="33" w16cid:durableId="200435804">
    <w:abstractNumId w:val="32"/>
  </w:num>
  <w:num w:numId="34" w16cid:durableId="1963538155">
    <w:abstractNumId w:val="6"/>
  </w:num>
  <w:num w:numId="35" w16cid:durableId="1492021577">
    <w:abstractNumId w:val="14"/>
  </w:num>
  <w:num w:numId="36" w16cid:durableId="665130881">
    <w:abstractNumId w:val="36"/>
  </w:num>
  <w:num w:numId="37" w16cid:durableId="1492255567">
    <w:abstractNumId w:val="11"/>
  </w:num>
  <w:num w:numId="38" w16cid:durableId="553391994">
    <w:abstractNumId w:val="8"/>
  </w:num>
  <w:num w:numId="39" w16cid:durableId="291904054">
    <w:abstractNumId w:val="1"/>
  </w:num>
  <w:num w:numId="40" w16cid:durableId="641807451">
    <w:abstractNumId w:val="0"/>
  </w:num>
  <w:num w:numId="41" w16cid:durableId="1471485551">
    <w:abstractNumId w:val="26"/>
  </w:num>
  <w:num w:numId="42" w16cid:durableId="293562653">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81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CF2"/>
    <w:rsid w:val="00000D2C"/>
    <w:rsid w:val="00001737"/>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1072"/>
    <w:rsid w:val="00021756"/>
    <w:rsid w:val="000218AB"/>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72B"/>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350"/>
    <w:rsid w:val="00062A13"/>
    <w:rsid w:val="00062CC6"/>
    <w:rsid w:val="00062DCB"/>
    <w:rsid w:val="00063341"/>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FEE"/>
    <w:rsid w:val="000717FB"/>
    <w:rsid w:val="0007183A"/>
    <w:rsid w:val="00071A30"/>
    <w:rsid w:val="00071E0C"/>
    <w:rsid w:val="00072262"/>
    <w:rsid w:val="00072581"/>
    <w:rsid w:val="0007335A"/>
    <w:rsid w:val="00073642"/>
    <w:rsid w:val="00073AE0"/>
    <w:rsid w:val="00073AF0"/>
    <w:rsid w:val="00074015"/>
    <w:rsid w:val="000740AC"/>
    <w:rsid w:val="0007464F"/>
    <w:rsid w:val="000757A0"/>
    <w:rsid w:val="00076502"/>
    <w:rsid w:val="0007673F"/>
    <w:rsid w:val="00076887"/>
    <w:rsid w:val="00076E43"/>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57B"/>
    <w:rsid w:val="0008472B"/>
    <w:rsid w:val="00084943"/>
    <w:rsid w:val="00084C73"/>
    <w:rsid w:val="000851A1"/>
    <w:rsid w:val="000855DE"/>
    <w:rsid w:val="000855EB"/>
    <w:rsid w:val="00085B52"/>
    <w:rsid w:val="00086603"/>
    <w:rsid w:val="000866F2"/>
    <w:rsid w:val="00086BFA"/>
    <w:rsid w:val="00086CC5"/>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B91"/>
    <w:rsid w:val="000A103E"/>
    <w:rsid w:val="000A112C"/>
    <w:rsid w:val="000A1278"/>
    <w:rsid w:val="000A16D7"/>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7A"/>
    <w:rsid w:val="000C49EB"/>
    <w:rsid w:val="000C524E"/>
    <w:rsid w:val="000C55AB"/>
    <w:rsid w:val="000C5B63"/>
    <w:rsid w:val="000C6090"/>
    <w:rsid w:val="000C6122"/>
    <w:rsid w:val="000C654D"/>
    <w:rsid w:val="000C78A2"/>
    <w:rsid w:val="000C7C27"/>
    <w:rsid w:val="000D003E"/>
    <w:rsid w:val="000D0D07"/>
    <w:rsid w:val="000D0ED1"/>
    <w:rsid w:val="000D13CF"/>
    <w:rsid w:val="000D2291"/>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9BF"/>
    <w:rsid w:val="000F4DA4"/>
    <w:rsid w:val="000F5547"/>
    <w:rsid w:val="000F5A6A"/>
    <w:rsid w:val="000F5C06"/>
    <w:rsid w:val="000F5E93"/>
    <w:rsid w:val="000F5F34"/>
    <w:rsid w:val="000F61C2"/>
    <w:rsid w:val="000F6A04"/>
    <w:rsid w:val="000F6DF3"/>
    <w:rsid w:val="000F719F"/>
    <w:rsid w:val="000F731E"/>
    <w:rsid w:val="000F7C0D"/>
    <w:rsid w:val="001005FF"/>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14D0"/>
    <w:rsid w:val="0012190F"/>
    <w:rsid w:val="001219F5"/>
    <w:rsid w:val="00121A20"/>
    <w:rsid w:val="00121B71"/>
    <w:rsid w:val="001223AC"/>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6330"/>
    <w:rsid w:val="00176996"/>
    <w:rsid w:val="00176A02"/>
    <w:rsid w:val="00177278"/>
    <w:rsid w:val="0017744C"/>
    <w:rsid w:val="001774FF"/>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1E95"/>
    <w:rsid w:val="001921C2"/>
    <w:rsid w:val="00192907"/>
    <w:rsid w:val="00192A30"/>
    <w:rsid w:val="001931BE"/>
    <w:rsid w:val="001931C1"/>
    <w:rsid w:val="00193419"/>
    <w:rsid w:val="0019341A"/>
    <w:rsid w:val="00193552"/>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65F"/>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C0C"/>
    <w:rsid w:val="001B0D97"/>
    <w:rsid w:val="001B1CB1"/>
    <w:rsid w:val="001B1E29"/>
    <w:rsid w:val="001B2506"/>
    <w:rsid w:val="001B2608"/>
    <w:rsid w:val="001B2723"/>
    <w:rsid w:val="001B2831"/>
    <w:rsid w:val="001B2F42"/>
    <w:rsid w:val="001B3D39"/>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020"/>
    <w:rsid w:val="001E6391"/>
    <w:rsid w:val="001E727B"/>
    <w:rsid w:val="001E76C4"/>
    <w:rsid w:val="001E7703"/>
    <w:rsid w:val="001E7AED"/>
    <w:rsid w:val="001F00D2"/>
    <w:rsid w:val="001F036F"/>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29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50F5"/>
    <w:rsid w:val="002354FA"/>
    <w:rsid w:val="002355FE"/>
    <w:rsid w:val="00235632"/>
    <w:rsid w:val="00235872"/>
    <w:rsid w:val="00236130"/>
    <w:rsid w:val="00237470"/>
    <w:rsid w:val="0023794C"/>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3FE"/>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E22"/>
    <w:rsid w:val="00266214"/>
    <w:rsid w:val="00266DA1"/>
    <w:rsid w:val="00266F25"/>
    <w:rsid w:val="002673D6"/>
    <w:rsid w:val="00267C83"/>
    <w:rsid w:val="00270A8D"/>
    <w:rsid w:val="00270DCA"/>
    <w:rsid w:val="0027144F"/>
    <w:rsid w:val="0027157A"/>
    <w:rsid w:val="00271689"/>
    <w:rsid w:val="002717F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BB0"/>
    <w:rsid w:val="00277C2B"/>
    <w:rsid w:val="00277CFB"/>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9B"/>
    <w:rsid w:val="002E17F2"/>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BA1"/>
    <w:rsid w:val="00307FE0"/>
    <w:rsid w:val="0031034D"/>
    <w:rsid w:val="0031049C"/>
    <w:rsid w:val="003105B2"/>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784"/>
    <w:rsid w:val="00325AC2"/>
    <w:rsid w:val="00326303"/>
    <w:rsid w:val="00326662"/>
    <w:rsid w:val="003266D1"/>
    <w:rsid w:val="00326BB7"/>
    <w:rsid w:val="00326EA7"/>
    <w:rsid w:val="00327095"/>
    <w:rsid w:val="003274A0"/>
    <w:rsid w:val="00327B67"/>
    <w:rsid w:val="00327D4D"/>
    <w:rsid w:val="003301C1"/>
    <w:rsid w:val="0033038B"/>
    <w:rsid w:val="00330481"/>
    <w:rsid w:val="003307EE"/>
    <w:rsid w:val="003311B1"/>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57F2"/>
    <w:rsid w:val="0036606B"/>
    <w:rsid w:val="00366C63"/>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92C"/>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508D"/>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89"/>
    <w:rsid w:val="00392987"/>
    <w:rsid w:val="0039318F"/>
    <w:rsid w:val="003932E1"/>
    <w:rsid w:val="003939FF"/>
    <w:rsid w:val="00393B72"/>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9C"/>
    <w:rsid w:val="003B1898"/>
    <w:rsid w:val="003B1A61"/>
    <w:rsid w:val="003B2DFB"/>
    <w:rsid w:val="003B32A0"/>
    <w:rsid w:val="003B33AE"/>
    <w:rsid w:val="003B369F"/>
    <w:rsid w:val="003B36A3"/>
    <w:rsid w:val="003B3ECB"/>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AC5"/>
    <w:rsid w:val="003B7CD3"/>
    <w:rsid w:val="003B7EAD"/>
    <w:rsid w:val="003B7F37"/>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8A5"/>
    <w:rsid w:val="003D691D"/>
    <w:rsid w:val="003D6D60"/>
    <w:rsid w:val="003D6E8E"/>
    <w:rsid w:val="003D7651"/>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48A3"/>
    <w:rsid w:val="003E55E4"/>
    <w:rsid w:val="003E5D4B"/>
    <w:rsid w:val="003E60A4"/>
    <w:rsid w:val="003E6284"/>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C04"/>
    <w:rsid w:val="00412FCB"/>
    <w:rsid w:val="00413182"/>
    <w:rsid w:val="004135C2"/>
    <w:rsid w:val="00413AAC"/>
    <w:rsid w:val="00413E92"/>
    <w:rsid w:val="00414024"/>
    <w:rsid w:val="00414B38"/>
    <w:rsid w:val="00415A57"/>
    <w:rsid w:val="00415B91"/>
    <w:rsid w:val="00415C12"/>
    <w:rsid w:val="004161FA"/>
    <w:rsid w:val="00417BF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5DA"/>
    <w:rsid w:val="004B69EB"/>
    <w:rsid w:val="004B6BFA"/>
    <w:rsid w:val="004B6EEF"/>
    <w:rsid w:val="004B6F6A"/>
    <w:rsid w:val="004B743D"/>
    <w:rsid w:val="004B74CD"/>
    <w:rsid w:val="004B7915"/>
    <w:rsid w:val="004B7C0C"/>
    <w:rsid w:val="004C0688"/>
    <w:rsid w:val="004C07A4"/>
    <w:rsid w:val="004C0957"/>
    <w:rsid w:val="004C13E4"/>
    <w:rsid w:val="004C1A74"/>
    <w:rsid w:val="004C2020"/>
    <w:rsid w:val="004C28E9"/>
    <w:rsid w:val="004C2CB9"/>
    <w:rsid w:val="004C2D86"/>
    <w:rsid w:val="004C2FE9"/>
    <w:rsid w:val="004C3898"/>
    <w:rsid w:val="004C4B7D"/>
    <w:rsid w:val="004C5737"/>
    <w:rsid w:val="004C58B3"/>
    <w:rsid w:val="004C5AEA"/>
    <w:rsid w:val="004C5BBC"/>
    <w:rsid w:val="004C5DEB"/>
    <w:rsid w:val="004C61E2"/>
    <w:rsid w:val="004C6E70"/>
    <w:rsid w:val="004C733D"/>
    <w:rsid w:val="004C784D"/>
    <w:rsid w:val="004C787E"/>
    <w:rsid w:val="004C7B88"/>
    <w:rsid w:val="004C7E05"/>
    <w:rsid w:val="004D1E16"/>
    <w:rsid w:val="004D2854"/>
    <w:rsid w:val="004D35C3"/>
    <w:rsid w:val="004D36B1"/>
    <w:rsid w:val="004D3E00"/>
    <w:rsid w:val="004D3E95"/>
    <w:rsid w:val="004D44BF"/>
    <w:rsid w:val="004D44FE"/>
    <w:rsid w:val="004D4870"/>
    <w:rsid w:val="004D55A3"/>
    <w:rsid w:val="004D6007"/>
    <w:rsid w:val="004D6461"/>
    <w:rsid w:val="004D6464"/>
    <w:rsid w:val="004D69C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CE4"/>
    <w:rsid w:val="00501D63"/>
    <w:rsid w:val="005026DB"/>
    <w:rsid w:val="00502837"/>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776F"/>
    <w:rsid w:val="005201E3"/>
    <w:rsid w:val="005205DD"/>
    <w:rsid w:val="00520ADE"/>
    <w:rsid w:val="005214CE"/>
    <w:rsid w:val="005219CF"/>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68E"/>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231A"/>
    <w:rsid w:val="005525C9"/>
    <w:rsid w:val="00552670"/>
    <w:rsid w:val="0055273E"/>
    <w:rsid w:val="00552CDC"/>
    <w:rsid w:val="00553013"/>
    <w:rsid w:val="0055342B"/>
    <w:rsid w:val="00553620"/>
    <w:rsid w:val="005536A8"/>
    <w:rsid w:val="0055380E"/>
    <w:rsid w:val="0055381B"/>
    <w:rsid w:val="00553DAD"/>
    <w:rsid w:val="005542C8"/>
    <w:rsid w:val="005546A8"/>
    <w:rsid w:val="00554736"/>
    <w:rsid w:val="00554CAD"/>
    <w:rsid w:val="00554E19"/>
    <w:rsid w:val="00555628"/>
    <w:rsid w:val="00555678"/>
    <w:rsid w:val="00555930"/>
    <w:rsid w:val="005559E3"/>
    <w:rsid w:val="00555E6B"/>
    <w:rsid w:val="00556172"/>
    <w:rsid w:val="00556381"/>
    <w:rsid w:val="005564DF"/>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5CD3"/>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47B"/>
    <w:rsid w:val="005A1AC2"/>
    <w:rsid w:val="005A1E53"/>
    <w:rsid w:val="005A209A"/>
    <w:rsid w:val="005A272F"/>
    <w:rsid w:val="005A27F6"/>
    <w:rsid w:val="005A2D72"/>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32D6"/>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8D"/>
    <w:rsid w:val="005D2F62"/>
    <w:rsid w:val="005D481A"/>
    <w:rsid w:val="005D48FF"/>
    <w:rsid w:val="005D60BF"/>
    <w:rsid w:val="005D6AF5"/>
    <w:rsid w:val="005D6B46"/>
    <w:rsid w:val="005D6B62"/>
    <w:rsid w:val="005D6C1B"/>
    <w:rsid w:val="005D6FA1"/>
    <w:rsid w:val="005D6FE1"/>
    <w:rsid w:val="005D71CD"/>
    <w:rsid w:val="005D7398"/>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18EA"/>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B63"/>
    <w:rsid w:val="00690D53"/>
    <w:rsid w:val="00690E10"/>
    <w:rsid w:val="006912B6"/>
    <w:rsid w:val="006915B0"/>
    <w:rsid w:val="006918E2"/>
    <w:rsid w:val="00692709"/>
    <w:rsid w:val="00693144"/>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867"/>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54B"/>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81B"/>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31A7"/>
    <w:rsid w:val="006D33E5"/>
    <w:rsid w:val="006D35D4"/>
    <w:rsid w:val="006D38D1"/>
    <w:rsid w:val="006D39F5"/>
    <w:rsid w:val="006D3FB1"/>
    <w:rsid w:val="006D43D5"/>
    <w:rsid w:val="006D464B"/>
    <w:rsid w:val="006D46E4"/>
    <w:rsid w:val="006D4745"/>
    <w:rsid w:val="006D494C"/>
    <w:rsid w:val="006D4DE8"/>
    <w:rsid w:val="006D4EF4"/>
    <w:rsid w:val="006D5369"/>
    <w:rsid w:val="006D56EA"/>
    <w:rsid w:val="006D5876"/>
    <w:rsid w:val="006D5AD2"/>
    <w:rsid w:val="006D6011"/>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E7F3D"/>
    <w:rsid w:val="006F0EC4"/>
    <w:rsid w:val="006F1803"/>
    <w:rsid w:val="006F193F"/>
    <w:rsid w:val="006F1AB6"/>
    <w:rsid w:val="006F1B70"/>
    <w:rsid w:val="006F1C76"/>
    <w:rsid w:val="006F1E9D"/>
    <w:rsid w:val="006F2B1D"/>
    <w:rsid w:val="006F2E3E"/>
    <w:rsid w:val="006F2E82"/>
    <w:rsid w:val="006F3131"/>
    <w:rsid w:val="006F341D"/>
    <w:rsid w:val="006F3915"/>
    <w:rsid w:val="006F3CDE"/>
    <w:rsid w:val="006F4836"/>
    <w:rsid w:val="006F4F3D"/>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CC9"/>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61"/>
    <w:rsid w:val="007519A3"/>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8EC"/>
    <w:rsid w:val="00757B88"/>
    <w:rsid w:val="00757E2F"/>
    <w:rsid w:val="00760258"/>
    <w:rsid w:val="007604B2"/>
    <w:rsid w:val="00760B26"/>
    <w:rsid w:val="0076166B"/>
    <w:rsid w:val="007619EC"/>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A33"/>
    <w:rsid w:val="007663AE"/>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CF4"/>
    <w:rsid w:val="00772E4C"/>
    <w:rsid w:val="00772EBD"/>
    <w:rsid w:val="0077313D"/>
    <w:rsid w:val="00773986"/>
    <w:rsid w:val="007749A8"/>
    <w:rsid w:val="00774FB1"/>
    <w:rsid w:val="0077506F"/>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094E"/>
    <w:rsid w:val="007B0C00"/>
    <w:rsid w:val="007B1179"/>
    <w:rsid w:val="007B1DF4"/>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30AF"/>
    <w:rsid w:val="007E352A"/>
    <w:rsid w:val="007E3F7C"/>
    <w:rsid w:val="007E4610"/>
    <w:rsid w:val="007E4715"/>
    <w:rsid w:val="007E4945"/>
    <w:rsid w:val="007E4D48"/>
    <w:rsid w:val="007E505B"/>
    <w:rsid w:val="007E56F9"/>
    <w:rsid w:val="007E57CB"/>
    <w:rsid w:val="007E5A61"/>
    <w:rsid w:val="007E5DD4"/>
    <w:rsid w:val="007E688A"/>
    <w:rsid w:val="007E7091"/>
    <w:rsid w:val="007E7EDF"/>
    <w:rsid w:val="007F08CF"/>
    <w:rsid w:val="007F1D10"/>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59"/>
    <w:rsid w:val="00816B70"/>
    <w:rsid w:val="00817196"/>
    <w:rsid w:val="0081757A"/>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3B3"/>
    <w:rsid w:val="0084621E"/>
    <w:rsid w:val="00846415"/>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54D4"/>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6FD"/>
    <w:rsid w:val="008677E9"/>
    <w:rsid w:val="008677FD"/>
    <w:rsid w:val="0086790C"/>
    <w:rsid w:val="00867BDF"/>
    <w:rsid w:val="008701ED"/>
    <w:rsid w:val="008703F5"/>
    <w:rsid w:val="008703FB"/>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3E"/>
    <w:rsid w:val="00883062"/>
    <w:rsid w:val="00883C12"/>
    <w:rsid w:val="0088498E"/>
    <w:rsid w:val="00884C56"/>
    <w:rsid w:val="00884F11"/>
    <w:rsid w:val="008852B9"/>
    <w:rsid w:val="00885500"/>
    <w:rsid w:val="00885A22"/>
    <w:rsid w:val="00885B79"/>
    <w:rsid w:val="00885E8A"/>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E81"/>
    <w:rsid w:val="008B376B"/>
    <w:rsid w:val="008B377B"/>
    <w:rsid w:val="008B37E1"/>
    <w:rsid w:val="008B39B2"/>
    <w:rsid w:val="008B3D8A"/>
    <w:rsid w:val="008B4262"/>
    <w:rsid w:val="008B45D4"/>
    <w:rsid w:val="008B4612"/>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602"/>
    <w:rsid w:val="008C0C99"/>
    <w:rsid w:val="008C0EE4"/>
    <w:rsid w:val="008C119F"/>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5DDD"/>
    <w:rsid w:val="008F68A5"/>
    <w:rsid w:val="008F6A4E"/>
    <w:rsid w:val="008F6F45"/>
    <w:rsid w:val="008F7013"/>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638"/>
    <w:rsid w:val="009139D9"/>
    <w:rsid w:val="00913FC0"/>
    <w:rsid w:val="009144FB"/>
    <w:rsid w:val="00914587"/>
    <w:rsid w:val="0091497A"/>
    <w:rsid w:val="00914AD8"/>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4A1"/>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3A0"/>
    <w:rsid w:val="00974D7E"/>
    <w:rsid w:val="0097513C"/>
    <w:rsid w:val="009753D2"/>
    <w:rsid w:val="00975666"/>
    <w:rsid w:val="009756D3"/>
    <w:rsid w:val="00975CC3"/>
    <w:rsid w:val="0097603D"/>
    <w:rsid w:val="009761A6"/>
    <w:rsid w:val="00976492"/>
    <w:rsid w:val="00976949"/>
    <w:rsid w:val="00976C1D"/>
    <w:rsid w:val="00977069"/>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6E"/>
    <w:rsid w:val="009A7AD5"/>
    <w:rsid w:val="009A7AE7"/>
    <w:rsid w:val="009A7E6D"/>
    <w:rsid w:val="009B01D0"/>
    <w:rsid w:val="009B0309"/>
    <w:rsid w:val="009B054C"/>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38A"/>
    <w:rsid w:val="009F5871"/>
    <w:rsid w:val="009F5BE4"/>
    <w:rsid w:val="009F6679"/>
    <w:rsid w:val="009F73C2"/>
    <w:rsid w:val="009F781B"/>
    <w:rsid w:val="009F7DE8"/>
    <w:rsid w:val="00A001CB"/>
    <w:rsid w:val="00A0029B"/>
    <w:rsid w:val="00A00456"/>
    <w:rsid w:val="00A00EC6"/>
    <w:rsid w:val="00A014B0"/>
    <w:rsid w:val="00A01809"/>
    <w:rsid w:val="00A01D9F"/>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CEF"/>
    <w:rsid w:val="00A05D09"/>
    <w:rsid w:val="00A05F2D"/>
    <w:rsid w:val="00A0781B"/>
    <w:rsid w:val="00A0787B"/>
    <w:rsid w:val="00A07A43"/>
    <w:rsid w:val="00A105C1"/>
    <w:rsid w:val="00A1079D"/>
    <w:rsid w:val="00A10901"/>
    <w:rsid w:val="00A1098C"/>
    <w:rsid w:val="00A10991"/>
    <w:rsid w:val="00A10DB1"/>
    <w:rsid w:val="00A11B74"/>
    <w:rsid w:val="00A12390"/>
    <w:rsid w:val="00A133BE"/>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609D2"/>
    <w:rsid w:val="00A61499"/>
    <w:rsid w:val="00A61757"/>
    <w:rsid w:val="00A619BA"/>
    <w:rsid w:val="00A61AB8"/>
    <w:rsid w:val="00A61B44"/>
    <w:rsid w:val="00A61F0C"/>
    <w:rsid w:val="00A62266"/>
    <w:rsid w:val="00A62731"/>
    <w:rsid w:val="00A62A77"/>
    <w:rsid w:val="00A62D74"/>
    <w:rsid w:val="00A62D96"/>
    <w:rsid w:val="00A63483"/>
    <w:rsid w:val="00A649A4"/>
    <w:rsid w:val="00A64B28"/>
    <w:rsid w:val="00A64D39"/>
    <w:rsid w:val="00A6566C"/>
    <w:rsid w:val="00A657D7"/>
    <w:rsid w:val="00A65865"/>
    <w:rsid w:val="00A65E4F"/>
    <w:rsid w:val="00A660AC"/>
    <w:rsid w:val="00A66109"/>
    <w:rsid w:val="00A66174"/>
    <w:rsid w:val="00A663F0"/>
    <w:rsid w:val="00A66A59"/>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1DF2"/>
    <w:rsid w:val="00AB20A7"/>
    <w:rsid w:val="00AB3264"/>
    <w:rsid w:val="00AB332A"/>
    <w:rsid w:val="00AB40A4"/>
    <w:rsid w:val="00AB4749"/>
    <w:rsid w:val="00AB4AB8"/>
    <w:rsid w:val="00AB5608"/>
    <w:rsid w:val="00AB655E"/>
    <w:rsid w:val="00AB660A"/>
    <w:rsid w:val="00AB6C8B"/>
    <w:rsid w:val="00AB7997"/>
    <w:rsid w:val="00AC007F"/>
    <w:rsid w:val="00AC06F2"/>
    <w:rsid w:val="00AC07C6"/>
    <w:rsid w:val="00AC0BD9"/>
    <w:rsid w:val="00AC1260"/>
    <w:rsid w:val="00AC18CD"/>
    <w:rsid w:val="00AC1D94"/>
    <w:rsid w:val="00AC2739"/>
    <w:rsid w:val="00AC286D"/>
    <w:rsid w:val="00AC2D41"/>
    <w:rsid w:val="00AC2D44"/>
    <w:rsid w:val="00AC2ECD"/>
    <w:rsid w:val="00AC2EE5"/>
    <w:rsid w:val="00AC3119"/>
    <w:rsid w:val="00AC3BD8"/>
    <w:rsid w:val="00AC40C2"/>
    <w:rsid w:val="00AC40E2"/>
    <w:rsid w:val="00AC49FB"/>
    <w:rsid w:val="00AC51D5"/>
    <w:rsid w:val="00AC52B2"/>
    <w:rsid w:val="00AC5315"/>
    <w:rsid w:val="00AC5504"/>
    <w:rsid w:val="00AC5A10"/>
    <w:rsid w:val="00AC6CCB"/>
    <w:rsid w:val="00AC6F6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7B1"/>
    <w:rsid w:val="00AE18A4"/>
    <w:rsid w:val="00AE1C77"/>
    <w:rsid w:val="00AE21F5"/>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1D8"/>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D6D"/>
    <w:rsid w:val="00AF5E8F"/>
    <w:rsid w:val="00AF6361"/>
    <w:rsid w:val="00AF6A5A"/>
    <w:rsid w:val="00AF6BF9"/>
    <w:rsid w:val="00AF6C40"/>
    <w:rsid w:val="00AF6CBB"/>
    <w:rsid w:val="00AF7D7B"/>
    <w:rsid w:val="00AF7F61"/>
    <w:rsid w:val="00B006FE"/>
    <w:rsid w:val="00B007CB"/>
    <w:rsid w:val="00B008F8"/>
    <w:rsid w:val="00B02AA9"/>
    <w:rsid w:val="00B02FA3"/>
    <w:rsid w:val="00B03093"/>
    <w:rsid w:val="00B0348E"/>
    <w:rsid w:val="00B037D1"/>
    <w:rsid w:val="00B03C21"/>
    <w:rsid w:val="00B04158"/>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408E"/>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EC"/>
    <w:rsid w:val="00B43468"/>
    <w:rsid w:val="00B44834"/>
    <w:rsid w:val="00B44DED"/>
    <w:rsid w:val="00B45045"/>
    <w:rsid w:val="00B45050"/>
    <w:rsid w:val="00B45793"/>
    <w:rsid w:val="00B4586E"/>
    <w:rsid w:val="00B458EF"/>
    <w:rsid w:val="00B45A52"/>
    <w:rsid w:val="00B45C17"/>
    <w:rsid w:val="00B46175"/>
    <w:rsid w:val="00B46C9B"/>
    <w:rsid w:val="00B46D5E"/>
    <w:rsid w:val="00B46F09"/>
    <w:rsid w:val="00B47BE8"/>
    <w:rsid w:val="00B5171D"/>
    <w:rsid w:val="00B519E3"/>
    <w:rsid w:val="00B5244B"/>
    <w:rsid w:val="00B527D5"/>
    <w:rsid w:val="00B528C2"/>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23F0"/>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27D"/>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60EE"/>
    <w:rsid w:val="00BB6153"/>
    <w:rsid w:val="00BB66F1"/>
    <w:rsid w:val="00BB6716"/>
    <w:rsid w:val="00BB676F"/>
    <w:rsid w:val="00BB7649"/>
    <w:rsid w:val="00BB7C16"/>
    <w:rsid w:val="00BC0035"/>
    <w:rsid w:val="00BC0060"/>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D7B44"/>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4F2"/>
    <w:rsid w:val="00BE4835"/>
    <w:rsid w:val="00BE4FEC"/>
    <w:rsid w:val="00BE536B"/>
    <w:rsid w:val="00BE58DE"/>
    <w:rsid w:val="00BE5B5D"/>
    <w:rsid w:val="00BE6093"/>
    <w:rsid w:val="00BE60EC"/>
    <w:rsid w:val="00BE7406"/>
    <w:rsid w:val="00BE7603"/>
    <w:rsid w:val="00BE7C07"/>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C6E"/>
    <w:rsid w:val="00C02CC6"/>
    <w:rsid w:val="00C03307"/>
    <w:rsid w:val="00C0337B"/>
    <w:rsid w:val="00C03963"/>
    <w:rsid w:val="00C03C53"/>
    <w:rsid w:val="00C03D14"/>
    <w:rsid w:val="00C040F7"/>
    <w:rsid w:val="00C04490"/>
    <w:rsid w:val="00C044AB"/>
    <w:rsid w:val="00C04530"/>
    <w:rsid w:val="00C0532F"/>
    <w:rsid w:val="00C05706"/>
    <w:rsid w:val="00C0666F"/>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592"/>
    <w:rsid w:val="00C20AC9"/>
    <w:rsid w:val="00C215F8"/>
    <w:rsid w:val="00C21864"/>
    <w:rsid w:val="00C218CC"/>
    <w:rsid w:val="00C21BFF"/>
    <w:rsid w:val="00C22032"/>
    <w:rsid w:val="00C221CA"/>
    <w:rsid w:val="00C225CD"/>
    <w:rsid w:val="00C225FC"/>
    <w:rsid w:val="00C22739"/>
    <w:rsid w:val="00C2299F"/>
    <w:rsid w:val="00C22ABC"/>
    <w:rsid w:val="00C22C85"/>
    <w:rsid w:val="00C23030"/>
    <w:rsid w:val="00C2309B"/>
    <w:rsid w:val="00C232AC"/>
    <w:rsid w:val="00C2377D"/>
    <w:rsid w:val="00C23790"/>
    <w:rsid w:val="00C239C8"/>
    <w:rsid w:val="00C23E64"/>
    <w:rsid w:val="00C23FB7"/>
    <w:rsid w:val="00C24398"/>
    <w:rsid w:val="00C247F0"/>
    <w:rsid w:val="00C24D6A"/>
    <w:rsid w:val="00C25389"/>
    <w:rsid w:val="00C257DB"/>
    <w:rsid w:val="00C25D41"/>
    <w:rsid w:val="00C25D52"/>
    <w:rsid w:val="00C27407"/>
    <w:rsid w:val="00C277C8"/>
    <w:rsid w:val="00C2792A"/>
    <w:rsid w:val="00C279B5"/>
    <w:rsid w:val="00C27B65"/>
    <w:rsid w:val="00C27C45"/>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19D"/>
    <w:rsid w:val="00C378EF"/>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47A"/>
    <w:rsid w:val="00C45989"/>
    <w:rsid w:val="00C463A8"/>
    <w:rsid w:val="00C46963"/>
    <w:rsid w:val="00C46BDD"/>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93C"/>
    <w:rsid w:val="00C979E4"/>
    <w:rsid w:val="00C97B7D"/>
    <w:rsid w:val="00C97D41"/>
    <w:rsid w:val="00C97D90"/>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1000"/>
    <w:rsid w:val="00CB1556"/>
    <w:rsid w:val="00CB1593"/>
    <w:rsid w:val="00CB17C5"/>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967"/>
    <w:rsid w:val="00CD3A48"/>
    <w:rsid w:val="00CD447B"/>
    <w:rsid w:val="00CD466E"/>
    <w:rsid w:val="00CD4C15"/>
    <w:rsid w:val="00CD59B0"/>
    <w:rsid w:val="00CD7887"/>
    <w:rsid w:val="00CE0424"/>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08A"/>
    <w:rsid w:val="00CF5260"/>
    <w:rsid w:val="00CF531A"/>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30335"/>
    <w:rsid w:val="00D306D0"/>
    <w:rsid w:val="00D30F76"/>
    <w:rsid w:val="00D3105A"/>
    <w:rsid w:val="00D3106B"/>
    <w:rsid w:val="00D3112A"/>
    <w:rsid w:val="00D31363"/>
    <w:rsid w:val="00D31A95"/>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6155"/>
    <w:rsid w:val="00D6682D"/>
    <w:rsid w:val="00D670A2"/>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6075"/>
    <w:rsid w:val="00D86CA3"/>
    <w:rsid w:val="00D87074"/>
    <w:rsid w:val="00D871CE"/>
    <w:rsid w:val="00D871F5"/>
    <w:rsid w:val="00D873D0"/>
    <w:rsid w:val="00D878FE"/>
    <w:rsid w:val="00D87C49"/>
    <w:rsid w:val="00D87C8B"/>
    <w:rsid w:val="00D900A7"/>
    <w:rsid w:val="00D901DF"/>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25BB"/>
    <w:rsid w:val="00DB314E"/>
    <w:rsid w:val="00DB377D"/>
    <w:rsid w:val="00DB3E54"/>
    <w:rsid w:val="00DB4110"/>
    <w:rsid w:val="00DB453E"/>
    <w:rsid w:val="00DB4E0C"/>
    <w:rsid w:val="00DB4ED3"/>
    <w:rsid w:val="00DB535C"/>
    <w:rsid w:val="00DB560A"/>
    <w:rsid w:val="00DB5CEF"/>
    <w:rsid w:val="00DB5E33"/>
    <w:rsid w:val="00DB66C5"/>
    <w:rsid w:val="00DB6816"/>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F8B"/>
    <w:rsid w:val="00DE1369"/>
    <w:rsid w:val="00DE13A9"/>
    <w:rsid w:val="00DE1CC7"/>
    <w:rsid w:val="00DE24E6"/>
    <w:rsid w:val="00DE2848"/>
    <w:rsid w:val="00DE2B43"/>
    <w:rsid w:val="00DE2CF3"/>
    <w:rsid w:val="00DE311B"/>
    <w:rsid w:val="00DE34C4"/>
    <w:rsid w:val="00DE3FB7"/>
    <w:rsid w:val="00DE4A50"/>
    <w:rsid w:val="00DE4A9D"/>
    <w:rsid w:val="00DE5206"/>
    <w:rsid w:val="00DE523A"/>
    <w:rsid w:val="00DE55AC"/>
    <w:rsid w:val="00DE5608"/>
    <w:rsid w:val="00DE58D0"/>
    <w:rsid w:val="00DE5CE1"/>
    <w:rsid w:val="00DE5E41"/>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860"/>
    <w:rsid w:val="00E379D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BD8"/>
    <w:rsid w:val="00E51E1A"/>
    <w:rsid w:val="00E527C1"/>
    <w:rsid w:val="00E53469"/>
    <w:rsid w:val="00E535E4"/>
    <w:rsid w:val="00E53B75"/>
    <w:rsid w:val="00E5409C"/>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859"/>
    <w:rsid w:val="00E63C1B"/>
    <w:rsid w:val="00E641B0"/>
    <w:rsid w:val="00E642D8"/>
    <w:rsid w:val="00E64434"/>
    <w:rsid w:val="00E6470C"/>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DD5"/>
    <w:rsid w:val="00E72811"/>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E4"/>
    <w:rsid w:val="00E954A3"/>
    <w:rsid w:val="00E95654"/>
    <w:rsid w:val="00E958F9"/>
    <w:rsid w:val="00E962B6"/>
    <w:rsid w:val="00E96ABC"/>
    <w:rsid w:val="00E96C23"/>
    <w:rsid w:val="00E97097"/>
    <w:rsid w:val="00E97223"/>
    <w:rsid w:val="00E97E40"/>
    <w:rsid w:val="00E97FFA"/>
    <w:rsid w:val="00EA0A6E"/>
    <w:rsid w:val="00EA102B"/>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DF7"/>
    <w:rsid w:val="00EB64A7"/>
    <w:rsid w:val="00EB64C3"/>
    <w:rsid w:val="00EB66DB"/>
    <w:rsid w:val="00EB6AE7"/>
    <w:rsid w:val="00EB6E14"/>
    <w:rsid w:val="00EB6EE5"/>
    <w:rsid w:val="00EB6FDB"/>
    <w:rsid w:val="00EB7029"/>
    <w:rsid w:val="00EB76CB"/>
    <w:rsid w:val="00EB776A"/>
    <w:rsid w:val="00EB7AD7"/>
    <w:rsid w:val="00EB7E04"/>
    <w:rsid w:val="00EC052D"/>
    <w:rsid w:val="00EC0A9A"/>
    <w:rsid w:val="00EC0DE3"/>
    <w:rsid w:val="00EC1AE9"/>
    <w:rsid w:val="00EC21FF"/>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064"/>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78F"/>
    <w:rsid w:val="00F45F98"/>
    <w:rsid w:val="00F463DE"/>
    <w:rsid w:val="00F468E9"/>
    <w:rsid w:val="00F46EF1"/>
    <w:rsid w:val="00F4757D"/>
    <w:rsid w:val="00F4766C"/>
    <w:rsid w:val="00F47695"/>
    <w:rsid w:val="00F47A1C"/>
    <w:rsid w:val="00F47C04"/>
    <w:rsid w:val="00F47D0F"/>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CC3"/>
    <w:rsid w:val="00F71F69"/>
    <w:rsid w:val="00F72128"/>
    <w:rsid w:val="00F725E2"/>
    <w:rsid w:val="00F72A4C"/>
    <w:rsid w:val="00F72B72"/>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CC9"/>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5BF"/>
    <w:rsid w:val="00FC415D"/>
    <w:rsid w:val="00FC43C3"/>
    <w:rsid w:val="00FC4C31"/>
    <w:rsid w:val="00FC4CA0"/>
    <w:rsid w:val="00FC5008"/>
    <w:rsid w:val="00FC529A"/>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2207"/>
    <w:rsid w:val="00FF273C"/>
    <w:rsid w:val="00FF27FB"/>
    <w:rsid w:val="00FF291C"/>
    <w:rsid w:val="00FF2DF8"/>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38237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https://www.3gpp.org/ftp/tsg_ran/WG1_RL1/TSGR1_112/Docs/R1-2302186.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11/Docs/R1-2211572.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TSG_RAN/TSGR_99/Docs/RP-23049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1/Docs/R1-22129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purl.org/dc/elements/1.1/"/>
    <ds:schemaRef ds:uri="http://purl.org/dc/terms/"/>
    <ds:schemaRef ds:uri="http://schemas.openxmlformats.org/package/2006/metadata/core-properties"/>
    <ds:schemaRef ds:uri="0ea90206-ed46-4e94-aaa3-4eb53f2abbf0"/>
    <ds:schemaRef ds:uri="http://www.w3.org/XML/1998/namespace"/>
    <ds:schemaRef ds:uri="http://schemas.microsoft.com/office/infopath/2007/PartnerControls"/>
    <ds:schemaRef ds:uri="http://schemas.microsoft.com/office/2006/metadata/properties"/>
    <ds:schemaRef ds:uri="d8762117-8292-4133-b1c7-eab5c6487cfd"/>
    <ds:schemaRef ds:uri="http://schemas.microsoft.com/office/2006/documentManagement/types"/>
    <ds:schemaRef ds:uri="2b894682-84b8-4ad3-8e22-2db2ef8bd5fa"/>
    <ds:schemaRef ds:uri="http://purl.org/dc/dcmitype/"/>
  </ds:schemaRefs>
</ds:datastoreItem>
</file>

<file path=customXml/itemProps3.xml><?xml version="1.0" encoding="utf-8"?>
<ds:datastoreItem xmlns:ds="http://schemas.openxmlformats.org/officeDocument/2006/customXml" ds:itemID="{C9B37065-B64B-4F01-82BF-E75F6F76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16831</TotalTime>
  <Pages>1</Pages>
  <Words>1651</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934</cp:revision>
  <cp:lastPrinted>2008-01-30T22:09:00Z</cp:lastPrinted>
  <dcterms:created xsi:type="dcterms:W3CDTF">2020-12-21T14:11:00Z</dcterms:created>
  <dcterms:modified xsi:type="dcterms:W3CDTF">2023-03-10T13:15:00Z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